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8.png" ContentType="image/png"/>
  <Override PartName="/word/media/image3.jpeg" ContentType="image/jpeg"/>
  <Override PartName="/word/media/image4.wmf" ContentType="image/x-wmf"/>
  <Override PartName="/word/media/image5.wmf" ContentType="image/x-wmf"/>
  <Override PartName="/word/media/image6.jpeg" ContentType="image/jpeg"/>
  <Override PartName="/word/media/image7.png" ContentType="image/png"/>
  <Override PartName="/word/media/image9.png" ContentType="image/png"/>
  <Override PartName="/word/media/image10.png" ContentType="image/png"/>
  <Override PartName="/word/media/image1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701" w:leader="none"/>
        </w:tabs>
        <w:ind w:right="170" w:hanging="0"/>
        <w:rPr/>
      </w:pPr>
      <w:r>
        <w:drawing>
          <wp:anchor behindDoc="0" distT="0" distB="0" distL="114300" distR="114300" simplePos="0" locked="0" layoutInCell="0" allowOverlap="1" relativeHeight="49">
            <wp:simplePos x="0" y="0"/>
            <wp:positionH relativeFrom="column">
              <wp:posOffset>1128395</wp:posOffset>
            </wp:positionH>
            <wp:positionV relativeFrom="paragraph">
              <wp:posOffset>192405</wp:posOffset>
            </wp:positionV>
            <wp:extent cx="6076315" cy="514350"/>
            <wp:effectExtent l="0" t="0" r="0" b="0"/>
            <wp:wrapSquare wrapText="bothSides"/>
            <wp:docPr id="1" name="Εικόνα 1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199" descr=""/>
                    <pic:cNvPicPr>
                      <a:picLocks noChangeAspect="1" noChangeArrowheads="1"/>
                    </pic:cNvPicPr>
                  </pic:nvPicPr>
                  <pic:blipFill>
                    <a:blip r:embed="rId2"/>
                    <a:stretch>
                      <a:fillRect/>
                    </a:stretch>
                  </pic:blipFill>
                  <pic:spPr bwMode="auto">
                    <a:xfrm>
                      <a:off x="0" y="0"/>
                      <a:ext cx="6076315" cy="514350"/>
                    </a:xfrm>
                    <a:prstGeom prst="rect">
                      <a:avLst/>
                    </a:prstGeom>
                  </pic:spPr>
                </pic:pic>
              </a:graphicData>
            </a:graphic>
          </wp:anchor>
        </w:drawing>
      </w:r>
      <w:r>
        <w:rPr/>
        <w:t xml:space="preserve">   </w:t>
      </w:r>
    </w:p>
    <w:p>
      <w:pPr>
        <w:pStyle w:val="Style19"/>
        <w:spacing w:lineRule="auto" w:line="247" w:before="94" w:after="0"/>
        <w:ind w:left="1783" w:right="170" w:hanging="0"/>
        <w:rPr>
          <w:lang w:val="el-GR"/>
        </w:rPr>
      </w:pPr>
      <w:r>
        <w:rPr>
          <w:lang w:val="el-GR"/>
        </w:rPr>
        <w:tab/>
      </w:r>
    </w:p>
    <w:p>
      <w:pPr>
        <w:pStyle w:val="Style19"/>
        <w:spacing w:lineRule="auto" w:line="247" w:before="94" w:after="0"/>
        <w:ind w:left="1783" w:right="170" w:hanging="0"/>
        <w:rPr>
          <w:lang w:val="el-GR"/>
        </w:rPr>
      </w:pPr>
      <w:r>
        <w:rPr>
          <w:lang w:val="el-GR"/>
        </w:rPr>
      </w:r>
    </w:p>
    <w:p>
      <w:pPr>
        <w:pStyle w:val="1"/>
        <w:pBdr>
          <w:top w:val="single" w:sz="8" w:space="1" w:color="00B0F0"/>
          <w:bottom w:val="single" w:sz="8" w:space="1" w:color="00B0F0"/>
        </w:pBdr>
        <w:overflowPunct w:val="true"/>
        <w:ind w:left="1780" w:right="170" w:hanging="0"/>
        <w:rPr>
          <w:color w:val="63A1AA"/>
        </w:rPr>
      </w:pPr>
      <w:r>
        <w:rPr>
          <w:color w:val="63A1AA"/>
        </w:rPr>
        <w:t>Τιμές ενέργειας και η σημασία της δυναμικής σχηματισμού πληθωριστικών προσδοκιών</w:t>
      </w:r>
    </w:p>
    <w:p>
      <w:pPr>
        <w:pStyle w:val="Style19"/>
        <w:spacing w:lineRule="auto" w:line="249" w:before="94" w:after="0"/>
        <w:ind w:left="1758" w:right="170" w:hanging="0"/>
        <w:jc w:val="both"/>
        <w:rPr>
          <w:lang w:val="el-GR"/>
        </w:rPr>
      </w:pPr>
      <w:r>
        <w:rPr>
          <w:lang w:val="el-GR"/>
        </w:rPr>
      </w:r>
    </w:p>
    <w:p>
      <w:pPr>
        <w:pStyle w:val="Style19"/>
        <w:spacing w:lineRule="auto" w:line="249"/>
        <w:ind w:left="1758" w:right="170" w:hanging="0"/>
        <w:jc w:val="both"/>
        <w:rPr>
          <w:sz w:val="20"/>
          <w:lang w:val="el-GR"/>
        </w:rPr>
      </w:pPr>
      <w:r>
        <w:rPr>
          <w:sz w:val="20"/>
          <w:lang w:val="el-GR"/>
        </w:rPr>
        <w:t>Η ραγδαία άνοδος των τιμών της ενέργειας σε συνδυασμό με την αυξημένη ζήτηση αγαθών και υπηρεσιών μετά την άρση των περιοριστικών μέτρων και τις διαταραχές στις εφοδιαστικές αλυσίδες, οι οποίες αυξάνουν τα κόστη μεταφοράς και παραγωγής, έχουν τροφοδοτήσει ισχυρές πληθωριστικές πιέσεις διεθνώς, μεγεθύνοντας την αβεβαιότητα για την επίπτωση της ταχείας ανόδου των τιμών στον ρυθμό οικονομικής μεγέθυνσης του 2022. Ενδεικτικά, το Διεθνές Νομισματικό Ταμείο (World Economic Outlook, January 2022) αναθεώρησε την πρόβλεψή του για τον ρυθμό οικονομικής μεγέθυνσης της παγκόσμιας οικονομίας το 2022 σε 4,4%, μισή ποσοστιαία μονάδα χαμηλότερα από την προηγούμενη πρόβλεψη (World Economic Outlook, October 2021), αφενός λόγω του αρνητικού αντικτύπου της μετάλλαξης Όμικρον στην οικονομική δραστηριότητα και αφετέρου λόγω της αβεβαιότητας για την ένταση των πληθωριστικών πιέσεων, οι οποίες αναμένεται να διατηρηθούν για μεγαλύτερο διάστημα από αυτό που αρχικά αναμενόταν. Εντούτοις, όπως αναφέρει και το Διεθνές Νομισματικό Ταμείο, οι πληθωριστικές πιέσεις αναμένεται να μετριαστούν εντός του 2022, καθώς οι ανισορροπίες σε προσφορά και ζήτηση θα εξαλείφονται σταδιακά, ενώ οι τιμές της ενέργειας αναμένεται να εξομαλυνθούν από το δεύτερο εξάμηνο του έτους.</w:t>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t>Η αναζωπύρωση του πληθωρισμού ενδέχεται να επηρεάσει την αναπτυξιακή τροχιά της ελληνικής οικονομίας το 2022. Ο ρυθμός μεγέθυνσης, ωστόσο, εκτιμάται ότι θα είναι ισχυρός από τους περισσότερους οργανισμούς (π.χ. ΙΟΒΕ: 4,5%-5%, Ευρωπαϊκή Επιτροπή: 5,2%), ως απόρροια αφενός της αναμενόμενης ισχυρής επίδοσης του τουρισμού και αφετέρου της αύξησης των επενδύσεων, οι οποίες αναμένεται να υποστηριχθούν από το Ταμείο Ανάκαμψης.</w:t>
      </w:r>
    </w:p>
    <w:p>
      <w:pPr>
        <w:pStyle w:val="Style19"/>
        <w:overflowPunct w:val="true"/>
        <w:ind w:right="170" w:hanging="0"/>
        <w:rPr>
          <w:lang w:val="el-GR"/>
        </w:rPr>
      </w:pPr>
      <w:r>
        <w:rPr>
          <w:lang w:val="el-GR"/>
        </w:rPr>
      </w:r>
    </w:p>
    <w:p>
      <w:pPr>
        <w:pStyle w:val="Style19"/>
        <w:overflowPunct w:val="true"/>
        <w:ind w:left="101" w:right="170" w:hanging="0"/>
        <w:rPr>
          <w:lang w:val="el-GR"/>
        </w:rPr>
      </w:pPr>
      <w:r>
        <mc:AlternateContent>
          <mc:Choice Requires="wpg">
            <w:drawing>
              <wp:anchor behindDoc="1" distT="0" distB="0" distL="0" distR="0" simplePos="0" locked="0" layoutInCell="0" allowOverlap="1" relativeHeight="69" wp14:anchorId="232E20E6">
                <wp:simplePos x="0" y="0"/>
                <wp:positionH relativeFrom="column">
                  <wp:posOffset>7620</wp:posOffset>
                </wp:positionH>
                <wp:positionV relativeFrom="paragraph">
                  <wp:posOffset>28575</wp:posOffset>
                </wp:positionV>
                <wp:extent cx="7200265" cy="3240405"/>
                <wp:effectExtent l="0" t="0" r="1270" b="0"/>
                <wp:wrapNone/>
                <wp:docPr id="2" name="Group 399"/>
                <a:graphic xmlns:a="http://schemas.openxmlformats.org/drawingml/2006/main">
                  <a:graphicData uri="http://schemas.microsoft.com/office/word/2010/wordprocessingGroup">
                    <wpg:wgp>
                      <wpg:cNvGrpSpPr/>
                      <wpg:grpSpPr>
                        <a:xfrm>
                          <a:off x="0" y="0"/>
                          <a:ext cx="7199640" cy="3239640"/>
                          <a:chOff x="7560" y="28440"/>
                          <a:chExt cx="7199640" cy="3239640"/>
                        </a:xfrm>
                      </wpg:grpSpPr>
                      <wps:wsp>
                        <wps:cNvSpPr/>
                        <wps:spPr>
                          <a:xfrm>
                            <a:off x="0" y="0"/>
                            <a:ext cx="994320" cy="323964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E24C37"/>
                                  <w:lang w:val="en-US"/>
                                </w:rPr>
                                <w:t>ΓΡΑΦΗΜΑ 1</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Πηγή: ΕΛΣΤΑΤ, Ευρωπαϊκή Επιτροπή</w:t>
                              </w:r>
                            </w:p>
                          </w:txbxContent>
                        </wps:txbx>
                        <wps:bodyPr anchor="t" upright="1">
                          <a:noAutofit/>
                        </wps:bodyPr>
                      </wps:wsp>
                      <wps:wsp>
                        <wps:cNvSpPr/>
                        <wps:spPr>
                          <a:xfrm>
                            <a:off x="1118880" y="0"/>
                            <a:ext cx="6080760" cy="323964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Η επίπτωση των τιμών της ενέργειας στον πληθωρισμό και οι προσδοκίες των καταναλωτών</w:t>
                              </w:r>
                            </w:p>
                            <w:p>
                              <w:pPr>
                                <w:overflowPunct w:val="false"/>
                                <w:spacing w:before="0" w:after="0" w:lineRule="auto" w:line="240"/>
                                <w:jc w:val="left"/>
                                <w:rPr/>
                              </w:pPr>
                              <w:r>
                                <w:rPr>
                                  <w:sz w:val="22"/>
                                </w:rPr>
                              </w:r>
                            </w:p>
                            <w:p>
                              <w:pPr>
                                <w:overflowPunct w:val="false"/>
                                <w:spacing w:before="0" w:after="0" w:lineRule="auto" w:line="240"/>
                                <w:jc w:val="center"/>
                                <w:rPr/>
                              </w:pPr>
                              <w:r>
                                <w:rPr>
                                  <w:sz w:val="22"/>
                                </w:rPr>
                              </w:r>
                            </w:p>
                          </w:txbxContent>
                        </wps:txbx>
                        <wps:bodyPr anchor="t" upright="1">
                          <a:noAutofit/>
                        </wps:bodyPr>
                      </wps:wsp>
                    </wpg:wgp>
                  </a:graphicData>
                </a:graphic>
              </wp:anchor>
            </w:drawing>
          </mc:Choice>
          <mc:Fallback>
            <w:pict>
              <v:group id="shape_0" alt="Group 399" style="position:absolute;margin-left:0.6pt;margin-top:2.25pt;width:566.9pt;height:255.1pt" coordorigin="12,45" coordsize="11338,5102">
                <v:rect id="shape_0" ID="Rectangle 24" path="m0,0l-2147483645,0l-2147483645,-2147483646l0,-2147483646xe" fillcolor="#e5e4de" stroked="f" o:allowincell="f" style="position:absolute;left:12;top:45;width:1565;height:5101;mso-wrap-style:square;v-text-anchor:top">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E24C37"/>
                            <w:lang w:val="en-US"/>
                          </w:rPr>
                          <w:t>ΓΡΑΦΗΜΑ 1</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Πηγή: ΕΛΣΤΑΤ, Ευρωπαϊκή Επιτροπή</w:t>
                        </w:r>
                      </w:p>
                    </w:txbxContent>
                  </v:textbox>
                  <v:fill o:detectmouseclick="t" type="solid" color2="#1a1b21"/>
                  <v:stroke color="#3465a4" joinstyle="round" endcap="flat"/>
                  <w10:wrap type="none"/>
                </v:rect>
              </v:group>
            </w:pict>
          </mc:Fallback>
        </mc:AlternateContent>
      </w:r>
      <w:r>
        <w:rPr>
          <w:lang w:val="el-GR"/>
        </w:rPr>
        <w:tab/>
      </w:r>
    </w:p>
    <w:p>
      <w:pPr>
        <w:pStyle w:val="Normal"/>
        <w:ind w:right="170" w:hanging="0"/>
        <w:rPr/>
      </w:pPr>
      <w:r>
        <w:rPr/>
        <mc:AlternateContent>
          <mc:Choice Requires="wps">
            <w:drawing>
              <wp:anchor behindDoc="1" distT="3175" distB="0" distL="3175" distR="0" simplePos="0" locked="0" layoutInCell="0" allowOverlap="1" relativeHeight="70" wp14:anchorId="09021CBA">
                <wp:simplePos x="0" y="0"/>
                <wp:positionH relativeFrom="column">
                  <wp:posOffset>1197610</wp:posOffset>
                </wp:positionH>
                <wp:positionV relativeFrom="paragraph">
                  <wp:posOffset>246380</wp:posOffset>
                </wp:positionV>
                <wp:extent cx="5949315" cy="46355"/>
                <wp:effectExtent l="0" t="0" r="13970" b="12065"/>
                <wp:wrapNone/>
                <wp:docPr id="3" name="Freeform 206"/>
                <a:graphic xmlns:a="http://schemas.openxmlformats.org/drawingml/2006/main">
                  <a:graphicData uri="http://schemas.microsoft.com/office/word/2010/wordprocessingShape">
                    <wps:wsp>
                      <wps:cNvSpPr/>
                      <wps:spPr>
                        <a:xfrm>
                          <a:off x="0" y="0"/>
                          <a:ext cx="5948640" cy="45720"/>
                        </a:xfrm>
                        <a:custGeom>
                          <a:avLst/>
                          <a:gdLst/>
                          <a:ahLst/>
                          <a:rect l="l" t="t" r="r" b="b"/>
                          <a:pathLst>
                            <a:path w="9308" h="74">
                              <a:moveTo>
                                <a:pt x="0" y="0"/>
                              </a:moveTo>
                              <a:lnTo>
                                <a:pt x="924" y="0"/>
                              </a:lnTo>
                              <a:lnTo>
                                <a:pt x="931" y="0"/>
                              </a:lnTo>
                              <a:lnTo>
                                <a:pt x="982" y="73"/>
                              </a:lnTo>
                              <a:lnTo>
                                <a:pt x="1033" y="0"/>
                              </a:lnTo>
                              <a:lnTo>
                                <a:pt x="1037" y="0"/>
                              </a:lnTo>
                              <a:lnTo>
                                <a:pt x="9308" y="0"/>
                              </a:lnTo>
                            </a:path>
                          </a:pathLst>
                        </a:custGeom>
                        <a:noFill/>
                        <a:ln w="6400">
                          <a:solidFill>
                            <a:srgbClr val="0e3b70"/>
                          </a:solidFill>
                          <a:round/>
                        </a:ln>
                      </wps:spPr>
                      <wps:style>
                        <a:lnRef idx="0"/>
                        <a:fillRef idx="0"/>
                        <a:effectRef idx="0"/>
                        <a:fontRef idx="minor"/>
                      </wps:style>
                      <wps:bodyPr/>
                    </wps:wsp>
                  </a:graphicData>
                </a:graphic>
              </wp:anchor>
            </w:drawing>
          </mc:Choice>
          <mc:Fallback>
            <w:pict/>
          </mc:Fallback>
        </mc:AlternateContent>
      </w:r>
    </w:p>
    <w:p>
      <w:pPr>
        <w:pStyle w:val="Normal"/>
        <w:ind w:right="170" w:hanging="0"/>
        <w:rPr/>
      </w:pPr>
      <w:r>
        <w:rPr/>
      </w:r>
    </w:p>
    <w:p>
      <w:pPr>
        <w:pStyle w:val="Normal"/>
        <w:ind w:right="170" w:hanging="0"/>
        <w:rPr/>
      </w:pPr>
      <w:r>
        <w:rPr/>
      </w:r>
    </w:p>
    <w:p>
      <w:pPr>
        <w:pStyle w:val="Normal"/>
        <w:ind w:right="170" w:hanging="0"/>
        <w:rPr/>
      </w:pPr>
      <w:r>
        <w:rPr/>
      </w:r>
    </w:p>
    <w:p>
      <w:pPr>
        <w:pStyle w:val="Normal"/>
        <w:ind w:right="170" w:hanging="0"/>
        <w:rPr/>
      </w:pPr>
      <w:r>
        <w:rPr/>
      </w:r>
    </w:p>
    <w:p>
      <w:pPr>
        <w:pStyle w:val="Normal"/>
        <w:ind w:right="170" w:hanging="0"/>
        <w:rPr/>
      </w:pPr>
      <w:r>
        <w:rPr/>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r>
    </w:p>
    <w:p>
      <w:pPr>
        <w:pStyle w:val="Style19"/>
        <w:spacing w:lineRule="auto" w:line="249"/>
        <w:ind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t xml:space="preserve">Ο σημαντικότερος κίνδυνος που αντιμετωπίζει η ελληνική οικονομία για το 2022 συνδέεται με την επίπτωση του πληθωρισμού στο ύψος της καταναλωτικής δαπάνης και στον σχεδιασμό της επενδυτικής δαπάνης. Οι παράγοντες που αναμένεται να καθορίσουν τον πληθωρισμό είναι α) η δυναμική της εξέλιξης των τιμών της ενέργειας και β) ο σχηματισμός των προσδοκιών των οικονομικών μονάδων. Συγκεκριμένα, </w:t>
      </w:r>
      <w:bookmarkStart w:id="0" w:name="_Hlk95212619"/>
      <w:r>
        <w:rPr>
          <w:sz w:val="20"/>
          <w:lang w:val="el-GR"/>
        </w:rPr>
        <w:t>ο τρόπος με τον οποίο τόσο οι καταναλωτές όσο και οι επιχειρηματίες περιμένουν ότι θα εξελιχθούν οι τιμές στο μέλλον επηρεάζει τον τρόπο με τον οποίο δαπανούν, δανείζονται και επενδύουν τα χρήματά τους σήμερα</w:t>
      </w:r>
      <w:bookmarkEnd w:id="0"/>
      <w:r>
        <w:rPr>
          <w:sz w:val="20"/>
          <w:lang w:val="el-GR"/>
        </w:rPr>
        <w:t xml:space="preserve">. </w:t>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sz w:val="20"/>
          <w:lang w:val="el-GR"/>
        </w:rPr>
        <w:t>Δεδομένου του καθοριστικού ρόλου των προσδοκιών στην εξέλιξη και τη δυναμική του φαινομένου, στο παρόν δελτίο εστιάζουμε την προσοχή μας στην πορεία των προσδοκιών για τις τιμές, σύμφωνα με τα στοιχεία της Ευρωπαϊκής Επιτροπής. Στο Γράφημα 1 αποτυπώνεται η διαχρονική εξέλιξη του ετήσιου ρυθμού μεταβολής του ΕνΔΤΚ στην Ελλάδα και των συνιστωσών του, η εξέλιξη του ΕνΔΤΚ της Ευρωζώνης, καθώς επίσης και οι προσδοκίες των καταναλωτών για τις τάσεις των τιμών τους επόμενους 12 μήνες.</w:t>
      </w:r>
    </w:p>
    <w:p>
      <w:pPr>
        <w:pStyle w:val="Style19"/>
        <w:spacing w:lineRule="auto" w:line="249"/>
        <w:ind w:left="1758" w:right="170" w:hanging="0"/>
        <w:jc w:val="both"/>
        <w:rPr>
          <w:sz w:val="20"/>
          <w:lang w:val="el-GR"/>
        </w:rPr>
      </w:pPr>
      <w:r>
        <w:rPr>
          <w:sz w:val="20"/>
          <w:lang w:val="el-GR"/>
        </w:rPr>
      </w:r>
    </w:p>
    <w:p>
      <w:pPr>
        <w:pStyle w:val="Style19"/>
        <w:spacing w:lineRule="auto" w:line="249"/>
        <w:ind w:left="1758" w:right="170" w:hanging="0"/>
        <w:jc w:val="both"/>
        <w:rPr>
          <w:sz w:val="20"/>
          <w:lang w:val="el-GR"/>
        </w:rPr>
      </w:pPr>
      <w:r>
        <w:rPr>
          <w:b/>
          <w:bCs/>
          <w:sz w:val="20"/>
          <w:u w:val="single"/>
          <w:lang w:val="el-GR"/>
        </w:rPr>
        <w:t>Τιμές Ενέργειας και Πληθωρισμός</w:t>
      </w:r>
      <w:r>
        <w:rPr>
          <w:sz w:val="20"/>
          <w:lang w:val="el-GR"/>
        </w:rPr>
        <w:t>: Από την έναρξη της πανδημίας και μετά, επικράτησαν αποπληθωριστικές πιέσεις, ως αποτέλεσμα των μέτρων περιορισμού της οικονομικής δραστηριότητας και της πτώσης της ζήτησης πρωτίστως για υπηρεσίες και δευτερευόντως για συγκεκριμένα αγαθά. Ωστόσο, από τον Ιούνιο του 2021, έχουν επικρατήσει πληθωριστικές τάσεις, με τον πληθωρισμό, με βάση τον ΕνΔΤΚ, να επιταχύνει μέσα στο έτος, με τις ανοδικές τάσεις στις τιμές της ενέργειας να αποτελούν τον σημαντικότερο παράγοντα. Σύμφωνα με τα τελευταία διαθέσιμα στοιχεία της ΕΛΣΤΑΤ, ο Εναρμονισμένος Δείκτης Τιμών Καταναλωτή (ΕνΔΤΚ ) συνέχισε να αυξάνεται σε ετήσια βάση, για έβδομο συνεχόμενο μήνα. Ειδικότερα, ο πληθωρισμός, με βάση τον ΕνΔΤΚ, τον Δεκέμβριο, διαμορφώθηκε στο 4,4% από 4%, τον Νοέμβριο, ενώ ο μέσος ετήσιος πληθωρισμός για το 2021 διαμορφώθηκε στο 0,6%, λόγω των αποπληθωριστικών πιέσεων που είχαν επικρατήσει, κατά τους πρώτους 5 μήνες του έτους. Συγκεκριμένα, σύμφωνα με τα τελευταία διαθέσιμα στοιχεία, στην αύξηση του επιπέδου τιμών, τον Δεκέμβριο, συνέβαλαν πρωτίστως οι τιμές της ενέργειας (+2,7 ποσοστιαίες μονάδες), ακολουθούμενες από τις τιμές για τα επεξεργασμένα και τα μη επεξεργασμένα τρόφιμα, τα οποία συνέβαλλαν θετικά κατά 0,5 και 0,47 ποσοστιαίες μονάδες, αντίστοιχα. Θετική συμβολή είχαν, επίσης, τα βιομηχανικά προϊόντα (εξαιρουμένης της ενέργειας) και οι υπηρεσίες. Εντούτοις, όπως αποτυπώνεται και στο Γράφημα 1, παρά τη συνεχιζόμενη αύξηση του γενικού επιπέδου των τιμών, ο πληθωρισμός, με βάση τον ΕνΔΤΚ, στην Ελλάδα, παρέμεινε σε χαμηλότερα επίπεδα από τον αντίστοιχο της Ευρωζώνης, καθ΄ όλη τη διάρκεια του προηγούμενου έτους (5%, τον Δεκέμβριο και 2,6%, το 2021, μέσος περιόδου).</w:t>
      </w:r>
    </w:p>
    <w:p>
      <w:pPr>
        <w:pStyle w:val="Style19"/>
        <w:spacing w:lineRule="auto" w:line="249"/>
        <w:ind w:left="1758" w:right="170" w:hanging="0"/>
        <w:jc w:val="both"/>
        <w:rPr>
          <w:sz w:val="20"/>
          <w:lang w:val="el-GR"/>
        </w:rPr>
      </w:pPr>
      <w:r>
        <w:rPr>
          <w:sz w:val="20"/>
          <w:lang w:val="el-GR"/>
        </w:rPr>
      </w:r>
    </w:p>
    <w:p>
      <w:pPr>
        <w:pStyle w:val="Style19"/>
        <w:ind w:left="1758" w:right="170" w:hanging="0"/>
        <w:jc w:val="both"/>
        <w:rPr>
          <w:sz w:val="20"/>
          <w:lang w:val="el-GR"/>
        </w:rPr>
      </w:pPr>
      <w:r>
        <w:rPr>
          <w:b/>
          <w:bCs/>
          <w:sz w:val="20"/>
          <w:u w:val="single"/>
          <w:lang w:val="el-GR"/>
        </w:rPr>
        <w:t>Εξέλιξη των Πληθωριστικών προσδοκιών:</w:t>
      </w:r>
      <w:r>
        <w:rPr>
          <w:sz w:val="20"/>
          <w:lang w:val="el-GR"/>
        </w:rPr>
        <w:t xml:space="preserve"> Σύμφωνα με τα τελευταία διαθέσιμα στοιχεία της Ευρωπαϊκής Επιτροπής, οι προσδοκίες των καταναλωτών για τις τάσεις των τιμών τους επόμενους 12 μήνες βρίσκονται σε θετικό έδαφος, από τον Αύγουστο του 2021, φθάνοντας στο υψηλότερο σημείο τους, τον Οκτώβριο του ίδιου έτους. Η άνοδος των προσδοκιών των καταναλωτών για τις τιμές συμβάδισε σε μεγάλο βαθμό με την επακόλουθη μεγάλη αύξηση του γενικού επιπέδου των τιμών, το δίμηνο Νοεμβρίου-Δεκεμβρίου. Από τον Νοέμβριο του 2021, οι προσδοκίες των καταναλωτών καταγράφουν πτώση, αν και παραμένουν σε θετικό έδαφος (από 46,6</w:t>
      </w:r>
      <w:r>
        <w:rPr>
          <w:lang w:val="el-GR"/>
        </w:rPr>
        <w:t xml:space="preserve"> </w:t>
      </w:r>
      <w:r>
        <w:rPr>
          <w:sz w:val="20"/>
          <w:lang w:val="el-GR"/>
        </w:rPr>
        <w:t>μονάδες, τον Οκτώβριο, σε 40,20, τον Νοέμβριο και 27 μονάδες, τον Δεκέμβριο),</w:t>
      </w:r>
      <w:r>
        <w:rPr>
          <w:lang w:val="el-GR"/>
        </w:rPr>
        <w:t xml:space="preserve"> </w:t>
      </w:r>
      <w:r>
        <w:rPr>
          <w:sz w:val="20"/>
          <w:lang w:val="el-GR"/>
        </w:rPr>
        <w:t xml:space="preserve">λόγω, κυρίως, </w:t>
      </w:r>
      <w:r>
        <w:rPr>
          <w:sz w:val="20"/>
          <w:szCs w:val="20"/>
          <w:lang w:val="el-GR"/>
        </w:rPr>
        <w:t>της προσωρινής υποχώρησης των τιμών του πετρελαίου και του φυσικού αερίου το ίδιο διάστημα (Γράφημα 3), με αποτέλεσμα να διαμορφωθούν προσδοκίες για σταδιακή αποκλιμάκωση των πληθωριστικών πιέσεων, τους επόμενους μήνες. Ωστόσο, τον Ιανουάριο, παρατηρείται μία άνοδος στις προσδοκίες των</w:t>
      </w:r>
    </w:p>
    <w:p>
      <w:pPr>
        <w:pStyle w:val="Style19"/>
        <w:ind w:right="227" w:hanging="0"/>
        <w:jc w:val="both"/>
        <w:rPr>
          <w:sz w:val="20"/>
          <w:lang w:val="el-GR"/>
        </w:rPr>
      </w:pPr>
      <w:r>
        <w:rPr>
          <w:sz w:val="20"/>
          <w:lang w:val="el-GR"/>
        </w:rPr>
        <mc:AlternateContent>
          <mc:Choice Requires="wpg">
            <w:drawing>
              <wp:anchor behindDoc="1" distT="0" distB="0" distL="0" distR="0" simplePos="0" locked="0" layoutInCell="0" allowOverlap="1" relativeHeight="72" wp14:anchorId="05A40D82">
                <wp:simplePos x="0" y="0"/>
                <wp:positionH relativeFrom="column">
                  <wp:posOffset>8255</wp:posOffset>
                </wp:positionH>
                <wp:positionV relativeFrom="paragraph">
                  <wp:posOffset>46990</wp:posOffset>
                </wp:positionV>
                <wp:extent cx="7200265" cy="3096895"/>
                <wp:effectExtent l="0" t="0" r="1270" b="9525"/>
                <wp:wrapNone/>
                <wp:docPr id="4" name="Group 399"/>
                <a:graphic xmlns:a="http://schemas.openxmlformats.org/drawingml/2006/main">
                  <a:graphicData uri="http://schemas.microsoft.com/office/word/2010/wordprocessingGroup">
                    <wpg:wgp>
                      <wpg:cNvGrpSpPr/>
                      <wpg:grpSpPr>
                        <a:xfrm>
                          <a:off x="0" y="0"/>
                          <a:ext cx="7199640" cy="3096360"/>
                          <a:chOff x="8280" y="47160"/>
                          <a:chExt cx="7199640" cy="3096360"/>
                        </a:xfrm>
                      </wpg:grpSpPr>
                      <wps:wsp>
                        <wps:cNvSpPr/>
                        <wps:spPr>
                          <a:xfrm>
                            <a:off x="0" y="0"/>
                            <a:ext cx="994320" cy="309636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E24C37"/>
                                  <w:lang w:val="en-US"/>
                                </w:rPr>
                                <w:t>ΓΡΑΦΗΜΑ 2</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Πηγή: Ευρωπαϊκή Επιτροπή</w:t>
                              </w:r>
                            </w:p>
                          </w:txbxContent>
                        </wps:txbx>
                        <wps:bodyPr anchor="t" upright="1">
                          <a:noAutofit/>
                        </wps:bodyPr>
                      </wps:wsp>
                      <wps:wsp>
                        <wps:cNvSpPr/>
                        <wps:spPr>
                          <a:xfrm>
                            <a:off x="1118880" y="0"/>
                            <a:ext cx="6080760" cy="309636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 xml:space="preserve">Προσδοκίες για την εξέλιξη των τιμών πώλησης ανά κλάδο </w:t>
                              </w:r>
                            </w:p>
                            <w:p>
                              <w:pPr>
                                <w:overflowPunct w:val="false"/>
                                <w:spacing w:before="0" w:after="0" w:lineRule="auto" w:line="240"/>
                                <w:jc w:val="left"/>
                                <w:rPr/>
                              </w:pPr>
                              <w:r>
                                <w:rPr>
                                  <w:sz w:val="22"/>
                                </w:rPr>
                              </w:r>
                            </w:p>
                          </w:txbxContent>
                        </wps:txbx>
                        <wps:bodyPr anchor="t" upright="1">
                          <a:noAutofit/>
                        </wps:bodyPr>
                      </wps:wsp>
                    </wpg:wgp>
                  </a:graphicData>
                </a:graphic>
              </wp:anchor>
            </w:drawing>
          </mc:Choice>
          <mc:Fallback>
            <w:pict>
              <v:group id="shape_0" alt="Group 399" style="position:absolute;margin-left:0.65pt;margin-top:3.7pt;width:566.9pt;height:243.8pt" coordorigin="13,74" coordsize="11338,4876">
                <v:rect id="shape_0" ID="Rectangle 24" path="m0,0l-2147483645,0l-2147483645,-2147483646l0,-2147483646xe" fillcolor="#e5e4de" stroked="f" o:allowincell="f" style="position:absolute;left:13;top:74;width:1565;height:4875;mso-wrap-style:square;v-text-anchor:top">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E24C37"/>
                            <w:lang w:val="en-US"/>
                          </w:rPr>
                          <w:t>ΓΡΑΦΗΜΑ 2</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Πηγή: Ευρωπαϊκή Επιτροπή</w:t>
                        </w:r>
                      </w:p>
                    </w:txbxContent>
                  </v:textbox>
                  <v:fill o:detectmouseclick="t" type="solid" color2="#1a1b21"/>
                  <v:stroke color="#3465a4" joinstyle="round" endcap="flat"/>
                  <w10:wrap type="none"/>
                </v:rect>
              </v:group>
            </w:pict>
          </mc:Fallback>
        </mc:AlternateContent>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Normal"/>
        <w:tabs>
          <w:tab w:val="clear" w:pos="720"/>
          <w:tab w:val="left" w:pos="2410" w:leader="none"/>
        </w:tabs>
        <w:spacing w:lineRule="auto" w:line="240"/>
        <w:jc w:val="center"/>
        <w:rPr>
          <w:rFonts w:ascii="Arial" w:hAnsi="Arial" w:cs="Arial"/>
          <w:sz w:val="20"/>
        </w:rPr>
      </w:pPr>
      <w:r>
        <w:rPr>
          <w:rFonts w:cs="Arial" w:ascii="Arial" w:hAnsi="Arial"/>
          <w:sz w:val="20"/>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lang w:val="el-GR"/>
        </w:rPr>
      </w:pPr>
      <w:r>
        <w:rPr>
          <w:lang w:val="el-GR"/>
        </w:rPr>
      </w:r>
    </w:p>
    <w:p>
      <w:pPr>
        <w:pStyle w:val="Style19"/>
        <w:ind w:left="1758" w:right="227" w:hanging="0"/>
        <w:jc w:val="both"/>
        <w:rPr>
          <w:sz w:val="20"/>
          <w:szCs w:val="20"/>
          <w:highlight w:val="yellow"/>
          <w:lang w:val="el-GR"/>
        </w:rPr>
      </w:pPr>
      <w:r>
        <w:rPr>
          <w:sz w:val="20"/>
          <w:szCs w:val="20"/>
          <w:highlight w:val="yellow"/>
          <w:lang w:val="el-GR"/>
        </w:rPr>
      </w:r>
    </w:p>
    <w:p>
      <w:pPr>
        <w:pStyle w:val="Style19"/>
        <w:ind w:left="1758" w:right="227" w:hanging="0"/>
        <w:jc w:val="both"/>
        <w:rPr>
          <w:sz w:val="20"/>
          <w:szCs w:val="20"/>
          <w:highlight w:val="yellow"/>
          <w:lang w:val="el-GR"/>
        </w:rPr>
      </w:pPr>
      <w:r>
        <w:rPr>
          <w:sz w:val="20"/>
          <w:szCs w:val="20"/>
          <w:highlight w:val="yellow"/>
          <w:lang w:val="el-GR"/>
        </w:rPr>
      </w:r>
    </w:p>
    <w:p>
      <w:pPr>
        <w:pStyle w:val="Style19"/>
        <w:ind w:left="1758" w:right="227" w:hanging="0"/>
        <w:jc w:val="both"/>
        <w:rPr>
          <w:sz w:val="20"/>
          <w:szCs w:val="20"/>
          <w:highlight w:val="yellow"/>
          <w:lang w:val="el-GR"/>
        </w:rPr>
      </w:pPr>
      <w:r>
        <w:rPr>
          <w:sz w:val="20"/>
          <w:szCs w:val="20"/>
          <w:highlight w:val="yellow"/>
          <w:lang w:val="el-GR"/>
        </w:rPr>
      </w:r>
    </w:p>
    <w:p>
      <w:pPr>
        <w:pStyle w:val="Style19"/>
        <w:ind w:left="1758" w:right="170" w:hanging="0"/>
        <w:jc w:val="both"/>
        <w:rPr>
          <w:sz w:val="20"/>
          <w:szCs w:val="20"/>
          <w:lang w:val="el-GR"/>
        </w:rPr>
      </w:pPr>
      <w:r>
        <w:rPr>
          <w:sz w:val="20"/>
          <w:szCs w:val="20"/>
          <w:lang w:val="el-GR"/>
        </w:rPr>
        <w:t xml:space="preserve">καταναλωτών (36,4 μονάδες), γεγονός που συνδέεται με την περαιτέρω αύξηση των τιμών της ενέργειας, τον ίδιο μήνα. </w:t>
      </w:r>
    </w:p>
    <w:p>
      <w:pPr>
        <w:pStyle w:val="Style19"/>
        <w:ind w:right="227" w:hanging="0"/>
        <w:jc w:val="both"/>
        <w:rPr>
          <w:lang w:val="el-GR"/>
        </w:rPr>
      </w:pPr>
      <w:r>
        <w:rPr>
          <w:lang w:val="el-GR"/>
        </w:rPr>
      </w:r>
    </w:p>
    <w:p>
      <w:pPr>
        <w:pStyle w:val="Style19"/>
        <w:ind w:left="1758" w:right="227" w:hanging="0"/>
        <w:jc w:val="both"/>
        <w:rPr>
          <w:sz w:val="20"/>
          <w:szCs w:val="20"/>
          <w:lang w:val="el-GR"/>
        </w:rPr>
      </w:pPr>
      <w:r>
        <w:rPr>
          <w:sz w:val="20"/>
          <w:szCs w:val="20"/>
          <w:lang w:val="el-GR"/>
        </w:rPr>
        <w:t xml:space="preserve">Παρόμοια εικόνα παρατηρείται και στις προσδοκίες των παραγωγών για τους επόμενους μήνες. Όπως παρατηρείται στο Γράφημα 2, ήδη από το δεύτερο τρίμηνο του 2021, άρχισαν να αυξάνονται οι προσδοκίες για την εξέλιξη των τιμών πώλησης ανά κλάδο για το επόμενο διάστημα, με τις προσδοκίες στη βιομηχανία και στο λιανικό εμπόριο να κινούνται σε θετικό επίπεδο ήδη από τον Μάρτιο του 2021,  συνεχίζοντας μέχρι και σήμερα. Αντίστοιχα, οι προσδοκίες για τις τιμές, τους επόμενους τρεις μήνες, στον κλάδο των υπηρεσιών, βαίνουν αύξουσες, από τον Σεπτέμβριο του 2021 και μετά,  για τέσσερις διαδοχικούς μήνες. Συγκεκριμένα, τον Ιανουάριο του 2022, οι προσδοκίες για την εξέλιξη των τιμών στη βιομηχανία, για τους επόμενους μήνες, άγγιξαν τις 42 μονάδες από 40, τον Δεκέμβριο του 2021. Οι προσδοκίες για την εξέλιξη των τιμών στις υπηρεσίες, τους επόμενους τρεις μήνες, έφτασαν, τον Ιανουάριο του 2022, τις 16,6 μονάδες (18,4: Δεκέμβριος 2021, 28,2: Νοέμβριος 2021), με τις αντίστοιχες προσδοκίες στον κλάδο του λιανικού εμπορίου, για το ίδιο χρονικό διάστημα, να φτάνουν τις 56 μονάδες από 58 μονάδες, τον Δεκέμβριο του 2021 και 69,8 μονάδες, τον Νοέμβριο του 2021. </w:t>
      </w:r>
    </w:p>
    <w:p>
      <w:pPr>
        <w:pStyle w:val="Style19"/>
        <w:ind w:left="1758" w:right="227" w:hanging="0"/>
        <w:jc w:val="both"/>
        <w:rPr>
          <w:sz w:val="20"/>
          <w:szCs w:val="20"/>
          <w:lang w:val="el-GR"/>
        </w:rPr>
      </w:pPr>
      <w:r>
        <w:rPr>
          <w:sz w:val="20"/>
          <w:szCs w:val="20"/>
          <w:lang w:val="el-GR"/>
        </w:rPr>
      </w:r>
    </w:p>
    <w:p>
      <w:pPr>
        <w:pStyle w:val="Style19"/>
        <w:ind w:left="1758" w:right="227" w:hanging="0"/>
        <w:jc w:val="both"/>
        <w:rPr>
          <w:sz w:val="20"/>
          <w:szCs w:val="20"/>
          <w:lang w:val="el-GR"/>
        </w:rPr>
      </w:pPr>
      <w:r>
        <w:rPr>
          <w:sz w:val="20"/>
          <w:szCs w:val="20"/>
          <w:lang w:val="el-GR"/>
        </w:rPr>
        <w:t xml:space="preserve">Μεσοπρόθεσμα, η διαμόρφωση έντονα πληθωριστικών προσδοκιών από τους οικονομικούς παράγοντες μπορεί να συμβάλει στην πιθανότητα πρόκλησης δευτερογενών επιπτώσεων που θα έθεταν σε κίνηση μία σπειροειδή εξέλιξη τιμών και μισθών, φαινόμενο που επικρατούσε στη χώρα μας, τις προηγούμενες δεκαετίες. Στο πλαίσιο στήριξης των εισοδημάτων έναντι του πληθωριστικού κινδύνου εντάσσεται η αύξηση του κατώτατου μισθού κατά 2% στην αρχή του έτους και η πρόθεση για περαιτέρω αύξηση εντός του 2022. Ωστόσο, όπως προβλέπει η Ευρωπαϊκή Επιτροπή, η παραγωγικότητα της εργασίας αναμένεται να βελτιωθεί σημαντικά, την τριετία 2021-2023, αμβλύνοντας τυχόν αρνητικές επιπτώσεις των μισθολογικών αυξήσεων στο κόστος εργασίας ανά μονάδα προϊόντος. </w:t>
      </w:r>
    </w:p>
    <w:p>
      <w:pPr>
        <w:pStyle w:val="Style19"/>
        <w:ind w:left="1758" w:right="227" w:hanging="0"/>
        <w:jc w:val="both"/>
        <w:rPr>
          <w:sz w:val="20"/>
          <w:szCs w:val="20"/>
          <w:lang w:val="el-GR"/>
        </w:rPr>
      </w:pPr>
      <w:r>
        <w:rPr>
          <w:sz w:val="20"/>
          <w:szCs w:val="20"/>
          <w:lang w:val="el-GR"/>
        </w:rPr>
      </w:r>
    </w:p>
    <w:p>
      <w:pPr>
        <w:pStyle w:val="Style19"/>
        <w:ind w:left="1758" w:right="227" w:hanging="0"/>
        <w:jc w:val="both"/>
        <w:rPr>
          <w:sz w:val="20"/>
          <w:szCs w:val="20"/>
          <w:lang w:val="el-GR"/>
        </w:rPr>
      </w:pPr>
      <w:r>
        <w:rPr>
          <w:sz w:val="20"/>
          <w:szCs w:val="20"/>
          <w:lang w:val="el-GR"/>
        </w:rPr>
        <w:t xml:space="preserve">Όπως παρατηρήσαμε και στο Γράφημα 1, οι τιμές της ενέργειας αποτελούν, διαχρονικά, το τελευταίο διάστημα, το μεγαλύτερο μερίδιο της αύξησης των τιμών. Όπως απεικονίζεται και στο Γράφημα 3α, οι τιμές του αργού πετρελαίου Brent αυξήθηκαν κατά 256%, από τον Απρίλιο του 2020 έως και σήμερα, με τον μέσο όρο της τιμής του, τον Ιανουάριο του 2022, να φτάνει στα 85 δολάρια ανά βαρέλι. Αντίστοιχα, όπως απεικονίζεται στο Γράφημα 3β, οι τιμές του φυσικού αερίου αυξήθηκαν κατά 165%, από τον Ιούνιο του 2020 έως και σήμερα, με τον μέσο όρο της τιμής του, τον Ιανουάριο του 2022, να ανέρχεται στα 22 δολάρια ανά εκατομμύριο βρετανικής μονάδας θερμότητας (MMBtu). Παρά τις καταγεγραμμένες αυτές αυξήσεις στις τιμές της ενέργειας, το τελευταίο διάστημα, και ειδικά το διάστημα Οκτωβρίου-Δεκεμβρίου, παρατηρήθηκαν διαδοχικές μειώσεις τόσο στις τιμές αργού πετρελαίου Brent, όσο και στις τιμές του φυσικού αερίου, αν και, τον Ιανουάριο, καταγράφηκαν πάλι σημαντικές αυξήσεις. Σε πρόσφατη συνέντευξη τύπου που έδωσε η πρόεδρος της Ευρωπαϊκής Κεντρικής Τράπεζας (ΕΚΤ) </w:t>
      </w:r>
      <w:r>
        <w:rPr>
          <w:sz w:val="20"/>
          <w:szCs w:val="20"/>
        </w:rPr>
        <w:t>Christin</w:t>
      </w:r>
      <w:r>
        <w:rPr>
          <w:sz w:val="20"/>
          <w:szCs w:val="20"/>
          <w:lang w:val="el-GR"/>
        </w:rPr>
        <w:t xml:space="preserve"> </w:t>
      </w:r>
      <w:r>
        <w:rPr>
          <w:sz w:val="20"/>
          <w:szCs w:val="20"/>
        </w:rPr>
        <w:t>Lagarde</w:t>
      </w:r>
      <w:r>
        <w:rPr>
          <w:sz w:val="20"/>
          <w:szCs w:val="20"/>
          <w:lang w:val="el-GR"/>
        </w:rPr>
        <w:t>, στις 3.2.2022, εκτιμά ότι οι πληθωριστικές πιέσεις θα διατηρηθούν για μεγαλύτερο διάστημα από αυτό που αναμενόταν αρχικά. Ωστόσο, αναμένεται να υπάρξει σταδιακή εξομάλυνση των τιμών της ενέργειας, μέσα στο 2022, αμβλύνοντας σε κάποιο βαθμό τις πληθωριστικές πιέσεις. Σημαντικό κίνδυνο για την πορεία των πληθωριστικών πιέσεων συνιστούν οι τρέχουσες γεωπολιτικές εντάσεις μεταξύ της Ρωσίας και της Ουκρανίας, από τις οποίες μπορεί να προκύψουν διαταραχές στην προσφορά φυσικού αερίου, κάτι το οποίο με τη σειρά του θα σήμαινε σημαντική επιβάρυνση του κόστους ενέργειας, έχοντας αρνητικό αντίκτυπο στις τιμές των αγαθών και των υπηρεσιών στην Ευρώπη.</w:t>
      </w:r>
    </w:p>
    <w:p>
      <w:pPr>
        <w:pStyle w:val="Style19"/>
        <w:ind w:left="1758" w:right="227" w:hanging="0"/>
        <w:jc w:val="both"/>
        <w:rPr>
          <w:sz w:val="20"/>
          <w:szCs w:val="20"/>
          <w:lang w:val="el-GR"/>
        </w:rPr>
      </w:pPr>
      <w:r>
        <w:rPr>
          <w:sz w:val="20"/>
          <w:szCs w:val="20"/>
          <w:lang w:val="el-GR"/>
        </w:rPr>
        <mc:AlternateContent>
          <mc:Choice Requires="wpg">
            <w:drawing>
              <wp:anchor behindDoc="1" distT="0" distB="0" distL="0" distR="0" simplePos="0" locked="0" layoutInCell="0" allowOverlap="1" relativeHeight="71" wp14:anchorId="79BDA573">
                <wp:simplePos x="0" y="0"/>
                <wp:positionH relativeFrom="column">
                  <wp:posOffset>0</wp:posOffset>
                </wp:positionH>
                <wp:positionV relativeFrom="paragraph">
                  <wp:posOffset>36195</wp:posOffset>
                </wp:positionV>
                <wp:extent cx="7225030" cy="3168650"/>
                <wp:effectExtent l="0" t="0" r="0" b="0"/>
                <wp:wrapNone/>
                <wp:docPr id="5" name="Group 356"/>
                <a:graphic xmlns:a="http://schemas.openxmlformats.org/drawingml/2006/main">
                  <a:graphicData uri="http://schemas.microsoft.com/office/word/2010/wordprocessingGroup">
                    <wpg:wgp>
                      <wpg:cNvGrpSpPr/>
                      <wpg:grpSpPr>
                        <a:xfrm>
                          <a:off x="0" y="0"/>
                          <a:ext cx="7224480" cy="3168000"/>
                          <a:chOff x="0" y="36360"/>
                          <a:chExt cx="7224480" cy="3168000"/>
                        </a:xfrm>
                      </wpg:grpSpPr>
                      <wps:wsp>
                        <wps:cNvSpPr/>
                        <wps:spPr>
                          <a:xfrm>
                            <a:off x="0" y="0"/>
                            <a:ext cx="1008360" cy="316800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lang w:val="en-US"/>
                                </w:rPr>
                                <w:t>ΓΡΑΦΗΜΑ 3</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Πηγή: Bloomberg</w:t>
                              </w:r>
                            </w:p>
                            <w:p>
                              <w:pPr>
                                <w:overflowPunct w:val="false"/>
                                <w:spacing w:before="0" w:after="0" w:lineRule="auto" w:line="240"/>
                                <w:jc w:val="center"/>
                                <w:rPr/>
                              </w:pPr>
                              <w:r>
                                <w:rPr>
                                  <w:sz w:val="22"/>
                                </w:rPr>
                              </w:r>
                            </w:p>
                          </w:txbxContent>
                        </wps:txbx>
                        <wps:bodyPr anchor="t" upright="1">
                          <a:noAutofit/>
                        </wps:bodyPr>
                      </wps:wsp>
                      <wps:wsp>
                        <wps:cNvSpPr/>
                        <wps:spPr>
                          <a:xfrm>
                            <a:off x="1137240" y="0"/>
                            <a:ext cx="6087240" cy="316800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0" w:lineRule="atLeast" w:line="200"/>
                                <w:jc w:val="left"/>
                                <w:rPr/>
                              </w:pPr>
                              <w:r>
                                <w:rPr>
                                  <w:sz w:val="20"/>
                                  <w:b w:val="false"/>
                                  <w:u w:val="none"/>
                                  <w:dstrike w:val="false"/>
                                  <w:strike w:val="false"/>
                                  <w:i w:val="false"/>
                                  <w:vertAlign w:val="baseline"/>
                                  <w:position w:val="0"/>
                                  <w:spacing w:val="0"/>
                                  <w:szCs w:val="20"/>
                                  <w:bCs w:val="false"/>
                                  <w:iCs w:val="false"/>
                                  <w:smallCaps w:val="false"/>
                                  <w:caps w:val="false"/>
                                  <w:color w:val="0E3B70"/>
                                  <w:lang w:val="el-GR"/>
                                </w:rPr>
                                <w:t>Διαχρονική εξέλιξη τιμών πετρελαίου και φυσικού αερίου</w:t>
                              </w:r>
                            </w:p>
                            <w:p>
                              <w:pPr>
                                <w:overflowPunct w:val="false"/>
                                <w:spacing w:before="0" w:after="0" w:lineRule="atLeast" w:line="200"/>
                                <w:jc w:val="left"/>
                                <w:rPr/>
                              </w:pPr>
                              <w:r>
                                <w:rPr>
                                  <w:sz w:val="22"/>
                                </w:rPr>
                              </w:r>
                            </w:p>
                            <w:p>
                              <w:pPr>
                                <w:overflowPunct w:val="false"/>
                                <w:spacing w:before="0" w:after="0" w:lineRule="auto" w:line="240"/>
                                <w:jc w:val="left"/>
                                <w:rPr/>
                              </w:pPr>
                              <w:r>
                                <w:rPr>
                                  <w:sz w:val="22"/>
                                </w:rPr>
                              </w:r>
                            </w:p>
                          </w:txbxContent>
                        </wps:txbx>
                        <wps:bodyPr anchor="t" upright="1">
                          <a:noAutofit/>
                        </wps:bodyPr>
                      </wps:wsp>
                    </wpg:wgp>
                  </a:graphicData>
                </a:graphic>
              </wp:anchor>
            </w:drawing>
          </mc:Choice>
          <mc:Fallback>
            <w:pict>
              <v:group id="shape_0" alt="Group 356" style="position:absolute;margin-left:0pt;margin-top:2.85pt;width:568.85pt;height:249.45pt" coordorigin="0,57" coordsize="11377,4989">
                <v:rect id="shape_0" ID="Rectangle 357" path="m0,0l-2147483645,0l-2147483645,-2147483646l0,-2147483646xe" fillcolor="#e5e4de" stroked="f" o:allowincell="f" style="position:absolute;left:0;top:57;width:1587;height:4988;mso-wrap-style:square;v-text-anchor:top">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lang w:val="en-US"/>
                          </w:rPr>
                          <w:t>ΓΡΑΦΗΜΑ 3</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Πηγή: Bloomberg</w:t>
                        </w:r>
                      </w:p>
                      <w:p>
                        <w:pPr>
                          <w:overflowPunct w:val="false"/>
                          <w:spacing w:before="0" w:after="0" w:lineRule="auto" w:line="240"/>
                          <w:jc w:val="center"/>
                          <w:rPr/>
                        </w:pPr>
                        <w:r>
                          <w:rPr>
                            <w:sz w:val="22"/>
                          </w:rPr>
                        </w:r>
                      </w:p>
                    </w:txbxContent>
                  </v:textbox>
                  <v:fill o:detectmouseclick="t" type="solid" color2="#1a1b21"/>
                  <v:stroke color="#3465a4" joinstyle="round" endcap="flat"/>
                  <w10:wrap type="none"/>
                </v:rect>
              </v:group>
            </w:pict>
          </mc:Fallback>
        </mc:AlternateContent>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left="1758" w:right="170" w:hanging="0"/>
        <w:jc w:val="both"/>
        <w:rPr>
          <w:sz w:val="20"/>
          <w:lang w:val="el-GR"/>
        </w:rPr>
      </w:pPr>
      <w:r>
        <w:rPr>
          <w:sz w:val="20"/>
          <w:lang w:val="el-GR"/>
        </w:rPr>
      </w:r>
    </w:p>
    <w:p>
      <w:pPr>
        <w:pStyle w:val="Style19"/>
        <w:ind w:right="227" w:hanging="0"/>
        <w:jc w:val="both"/>
        <w:rPr>
          <w:sz w:val="20"/>
          <w:lang w:val="el-GR"/>
        </w:rPr>
      </w:pPr>
      <w:r>
        <w:rPr>
          <w:sz w:val="20"/>
          <w:lang w:val="el-GR"/>
        </w:rPr>
      </w:r>
    </w:p>
    <w:p>
      <w:pPr>
        <w:pStyle w:val="Style19"/>
        <w:overflowPunct w:val="true"/>
        <w:spacing w:before="69" w:after="0"/>
        <w:ind w:right="170" w:hanging="0"/>
        <w:rPr>
          <w:color w:val="231F20"/>
          <w:lang w:val="el-GR"/>
        </w:rPr>
      </w:pPr>
      <w:r>
        <w:rPr>
          <w:color w:val="231F20"/>
          <w:lang w:val="el-GR"/>
        </w:rPr>
        <w:drawing>
          <wp:anchor behindDoc="0" distT="0" distB="0" distL="114300" distR="114300" simplePos="0" locked="0" layoutInCell="0" allowOverlap="1" relativeHeight="48">
            <wp:simplePos x="0" y="0"/>
            <wp:positionH relativeFrom="column">
              <wp:posOffset>1108075</wp:posOffset>
            </wp:positionH>
            <wp:positionV relativeFrom="paragraph">
              <wp:posOffset>144145</wp:posOffset>
            </wp:positionV>
            <wp:extent cx="6101715" cy="514985"/>
            <wp:effectExtent l="0" t="0" r="0" b="0"/>
            <wp:wrapSquare wrapText="bothSides"/>
            <wp:docPr id="6" name="Picture 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70" descr=""/>
                    <pic:cNvPicPr>
                      <a:picLocks noChangeAspect="1" noChangeArrowheads="1"/>
                    </pic:cNvPicPr>
                  </pic:nvPicPr>
                  <pic:blipFill>
                    <a:blip r:embed="rId3"/>
                    <a:stretch>
                      <a:fillRect/>
                    </a:stretch>
                  </pic:blipFill>
                  <pic:spPr bwMode="auto">
                    <a:xfrm>
                      <a:off x="0" y="0"/>
                      <a:ext cx="6101715" cy="514985"/>
                    </a:xfrm>
                    <a:prstGeom prst="rect">
                      <a:avLst/>
                    </a:prstGeom>
                  </pic:spPr>
                </pic:pic>
              </a:graphicData>
            </a:graphic>
          </wp:anchor>
        </w:drawing>
      </w:r>
    </w:p>
    <w:p>
      <w:pPr>
        <w:pStyle w:val="Style19"/>
        <w:overflowPunct w:val="true"/>
        <w:spacing w:before="69" w:after="0"/>
        <w:ind w:left="1780" w:right="170" w:hanging="0"/>
        <w:jc w:val="both"/>
        <w:rPr>
          <w:color w:val="231F20"/>
          <w:sz w:val="20"/>
          <w:szCs w:val="20"/>
          <w:lang w:val="el-GR"/>
        </w:rPr>
      </w:pPr>
      <w:r>
        <w:rPr>
          <w:color w:val="231F20"/>
          <w:sz w:val="20"/>
          <w:szCs w:val="20"/>
          <w:lang w:val="el-GR"/>
        </w:rPr>
      </w:r>
    </w:p>
    <w:p>
      <w:pPr>
        <w:pStyle w:val="1"/>
        <w:pBdr>
          <w:top w:val="single" w:sz="8" w:space="1" w:color="00B0F0"/>
          <w:bottom w:val="single" w:sz="8" w:space="1" w:color="00B0F0"/>
        </w:pBdr>
        <w:overflowPunct w:val="true"/>
        <w:ind w:left="1780" w:right="170" w:hanging="0"/>
        <w:rPr>
          <w:color w:val="63A1AA"/>
        </w:rPr>
      </w:pPr>
      <w:r>
        <w:rPr>
          <w:color w:val="63A1AA"/>
        </w:rPr>
        <w:t>Η μεταβλητότητα των χρηματιστηριακών αγορών στην πανδημία και οι πτωτικές τάσεις στο ξεκίνημα του 2022: Ερμηνείες και προοπτικές</w:t>
      </w:r>
      <w:bookmarkStart w:id="1" w:name="_Hlk71800761"/>
      <w:bookmarkEnd w:id="1"/>
    </w:p>
    <w:p>
      <w:pPr>
        <w:pStyle w:val="Style19"/>
        <w:spacing w:lineRule="auto" w:line="249" w:before="94" w:after="0"/>
        <w:ind w:left="1758" w:right="170" w:hanging="0"/>
        <w:jc w:val="both"/>
        <w:rPr>
          <w:sz w:val="20"/>
          <w:szCs w:val="20"/>
          <w:lang w:val="el-GR"/>
        </w:rPr>
      </w:pPr>
      <w:r>
        <w:rPr>
          <w:sz w:val="20"/>
          <w:szCs w:val="20"/>
          <w:lang w:val="el-GR"/>
        </w:rPr>
      </w:r>
    </w:p>
    <w:p>
      <w:pPr>
        <w:pStyle w:val="Style19"/>
        <w:ind w:left="1758" w:right="227" w:hanging="0"/>
        <w:jc w:val="both"/>
        <w:rPr>
          <w:sz w:val="20"/>
          <w:szCs w:val="20"/>
          <w:lang w:val="el-GR"/>
        </w:rPr>
      </w:pPr>
      <w:r>
        <w:rPr>
          <w:sz w:val="20"/>
          <w:szCs w:val="20"/>
          <w:lang w:val="el-GR"/>
        </w:rPr>
        <w:t xml:space="preserve">Η υφεσιακή διαταραχή που υπέστησαν οι οικονομίες, το 2020, λόγω της πανδημικής κρίσης, επηρέασε τους κύριους χρηματιστηριακούς δείκτες. Την αρχική κατάρρευση των χρηματιστηριακών αγορών, τον Μάρτιο του 2020 (Γράφημα 4), διαδέχθηκε μία ταχεία ανάκαμψη, με αρωγό τις εξαιρετικά επεκτατικές νομισματικές και δημοσιονομικές πολιτικές που υιοθέτησαν οι κύριες οικονομίες. Το αποτέλεσμα ήταν να καλυφθούν σε σύντομο διάστημα οι αρχικές απώλειες, ενώ η ανοδική τάση συνεχίστηκε και το 2021, με τους κύριους χρηματιστηριακούς δείκτες να καταγράφουν εντυπωσιακές επιδόσεις, παρά το περιβάλλον υψηλής αβεβαιότητας που είχε δημιουργήσει η εξέλιξη της πανδημίας.   </w:t>
      </w:r>
    </w:p>
    <w:p>
      <w:pPr>
        <w:pStyle w:val="Style19"/>
        <w:ind w:left="1758" w:right="227" w:hanging="0"/>
        <w:jc w:val="both"/>
        <w:rPr>
          <w:sz w:val="20"/>
          <w:szCs w:val="20"/>
          <w:lang w:val="el-GR"/>
        </w:rPr>
      </w:pPr>
      <w:r>
        <w:rPr>
          <w:sz w:val="20"/>
          <w:szCs w:val="20"/>
          <w:lang w:val="el-GR"/>
        </w:rPr>
        <w:t xml:space="preserve"> </w:t>
      </w:r>
    </w:p>
    <w:p>
      <w:pPr>
        <w:pStyle w:val="Style19"/>
        <w:ind w:left="1758" w:right="227" w:hanging="0"/>
        <w:jc w:val="both"/>
        <w:rPr>
          <w:sz w:val="20"/>
          <w:szCs w:val="20"/>
          <w:lang w:val="el-GR"/>
        </w:rPr>
      </w:pPr>
      <w:r>
        <w:rPr>
          <w:sz w:val="20"/>
          <w:szCs w:val="20"/>
          <w:lang w:val="el-GR"/>
        </w:rPr>
        <w:t xml:space="preserve">Ωστόσο, ο πρώτος μήνας του 2022 ολοκληρώθηκε με τους κύριους χρηματιστηριακούς δείκτες να υποχωρούν σημαντικά. Τις μεγαλύτερες απώλειες κατέγραψε ο τεχνολογικός δείκτης </w:t>
      </w:r>
      <w:r>
        <w:rPr>
          <w:sz w:val="20"/>
          <w:szCs w:val="20"/>
        </w:rPr>
        <w:t>Nasdaq</w:t>
      </w:r>
      <w:r>
        <w:rPr>
          <w:sz w:val="20"/>
          <w:szCs w:val="20"/>
          <w:lang w:val="el-GR"/>
        </w:rPr>
        <w:t xml:space="preserve"> (-9%), ακολουθούμενος από τους ασιατικούς δείκτες Shanghai Composite </w:t>
      </w:r>
      <w:r>
        <w:rPr>
          <w:sz w:val="20"/>
          <w:szCs w:val="20"/>
        </w:rPr>
        <w:t>Index</w:t>
      </w:r>
      <w:r>
        <w:rPr>
          <w:sz w:val="20"/>
          <w:szCs w:val="20"/>
          <w:lang w:val="el-GR"/>
        </w:rPr>
        <w:t xml:space="preserve"> (-7,6%) και </w:t>
      </w:r>
      <w:r>
        <w:rPr>
          <w:sz w:val="20"/>
          <w:szCs w:val="20"/>
        </w:rPr>
        <w:t>Nikkei</w:t>
      </w:r>
      <w:r>
        <w:rPr>
          <w:sz w:val="20"/>
          <w:szCs w:val="20"/>
          <w:lang w:val="el-GR"/>
        </w:rPr>
        <w:t xml:space="preserve"> (-6,2%), ενώ αρνητική απόδοση, τον Ιανουάριο, σημείωσαν τόσο οι κύριοι αμερικανικοί, όσο και οι ευρωπαϊκοί δείκτες (Γράφημα 5). Αξίζει να αναφερθεί ότι για τον δείκτη </w:t>
      </w:r>
      <w:r>
        <w:rPr>
          <w:sz w:val="20"/>
          <w:szCs w:val="20"/>
        </w:rPr>
        <w:t>S</w:t>
      </w:r>
      <w:r>
        <w:rPr>
          <w:sz w:val="20"/>
          <w:szCs w:val="20"/>
          <w:lang w:val="el-GR"/>
        </w:rPr>
        <w:t>&amp;</w:t>
      </w:r>
      <w:r>
        <w:rPr>
          <w:sz w:val="20"/>
          <w:szCs w:val="20"/>
        </w:rPr>
        <w:t>P</w:t>
      </w:r>
      <w:r>
        <w:rPr>
          <w:sz w:val="20"/>
          <w:szCs w:val="20"/>
          <w:lang w:val="el-GR"/>
        </w:rPr>
        <w:t xml:space="preserve"> 500 ήταν ο χειρότερος Ιανουάριος από το 2009, καθώς υποχώρησε κατά 5,3%. Εξαίρεση αποτέλεσε ο δείκτης </w:t>
      </w:r>
      <w:r>
        <w:rPr>
          <w:sz w:val="20"/>
          <w:szCs w:val="20"/>
        </w:rPr>
        <w:t>FTSE</w:t>
      </w:r>
      <w:r>
        <w:rPr>
          <w:sz w:val="20"/>
          <w:szCs w:val="20"/>
          <w:lang w:val="el-GR"/>
        </w:rPr>
        <w:t xml:space="preserve"> 100, η απόδοση του οποίου διαμορφώθηκε στο 1,1%, λόγω, ενδεχομένως, της σημαντικής βαρύτητας που έχουν στη διαμόρφωση αυτού του δείκτη οι επιχειρήσεις που δραστηριοποιούνται στην ενέργεια και τις πρώτες ύλες. Στο παρόν δελτίο επιχειρούμε να ερμηνεύσουμε τα αίτια της πτώσης και να εντοπίσουμε τους κύριους παράγοντες που θα επηρεάσουν την πορεία των χρηματιστηριακών δεικτών στον βραχύ χρονικό ορίζοντα.</w:t>
      </w:r>
    </w:p>
    <w:p>
      <w:pPr>
        <w:pStyle w:val="Style19"/>
        <w:ind w:left="1758" w:right="227" w:hanging="0"/>
        <w:jc w:val="both"/>
        <w:rPr>
          <w:sz w:val="20"/>
          <w:szCs w:val="20"/>
          <w:lang w:val="el-GR"/>
        </w:rPr>
      </w:pPr>
      <w:r>
        <w:rPr>
          <w:sz w:val="20"/>
          <w:szCs w:val="20"/>
          <w:lang w:val="el-GR"/>
        </w:rPr>
      </w:r>
    </w:p>
    <w:p>
      <w:pPr>
        <w:pStyle w:val="Style19"/>
        <w:ind w:left="1758" w:right="227" w:hanging="0"/>
        <w:jc w:val="both"/>
        <w:rPr>
          <w:sz w:val="20"/>
          <w:szCs w:val="20"/>
          <w:lang w:val="el-GR"/>
        </w:rPr>
      </w:pPr>
      <w:r>
        <w:rPr>
          <w:sz w:val="20"/>
          <w:szCs w:val="20"/>
          <w:lang w:val="el-GR"/>
        </w:rPr>
        <w:t>Καθοριστικός παράγοντας που συνέβαλε στην επιδείνωση του επενδυτικού κλίματος στις χρηματιστηριακές αγορές είναι η προοπτική αύξησης των βασικών επιτοκίων από την Ομοσπονδιακή Τράπεζα των ΗΠΑ (</w:t>
      </w:r>
      <w:r>
        <w:rPr>
          <w:sz w:val="20"/>
          <w:szCs w:val="20"/>
        </w:rPr>
        <w:t>Fed</w:t>
      </w:r>
      <w:r>
        <w:rPr>
          <w:sz w:val="20"/>
          <w:szCs w:val="20"/>
          <w:lang w:val="el-GR"/>
        </w:rPr>
        <w:t xml:space="preserve">). Από το ξέσπασμα της πανδημίας, η </w:t>
      </w:r>
      <w:r>
        <w:rPr>
          <w:sz w:val="20"/>
          <w:szCs w:val="20"/>
        </w:rPr>
        <w:t>Fed</w:t>
      </w:r>
      <w:r>
        <w:rPr>
          <w:sz w:val="20"/>
          <w:szCs w:val="20"/>
          <w:lang w:val="el-GR"/>
        </w:rPr>
        <w:t xml:space="preserve"> μείωσε το βασικό της επιτόκιο στο εύρος 0%-0,25%, στην προσπάθεια να στηρίξει την οικονομία των ΗΠΑ. Η υιοθέτηση επεκτατικής νομισματικής και δημοσιονομικής πολιτικής είχε ως αποτέλεσμα τη μεγάλη αύξηση της ζήτησης, η οποία προκάλεσε ταχύτατη ανάκτηση των απωλειών, σε όρους ακαθάριστου εγχώριου προϊόντος (ΑΕΠ), αλλά και ραγδαία άνοδο του πληθωρισμού, ο οποίος, τον Δεκέμβριο του 2021, κατέγραψε τη μεγαλύτερη αύξηση από το 1982 (7% σε ετήσια βάση). Τούτη η εξέλιξη, σε συνδυασμό με το ότι ο πληθωρισμός διατηρείται σε υψηλά επίπεδα για μεγαλύτερο χρονικό διάστημα από αυτό που αρχικά προβλεπόταν, υποχρεώνουν, ενδεχομένως, την </w:t>
      </w:r>
      <w:r>
        <w:rPr>
          <w:sz w:val="20"/>
          <w:szCs w:val="20"/>
        </w:rPr>
        <w:t>Fed</w:t>
      </w:r>
      <w:r>
        <w:rPr>
          <w:sz w:val="20"/>
          <w:szCs w:val="20"/>
          <w:lang w:val="el-GR"/>
        </w:rPr>
        <w:t xml:space="preserve"> να προβεί σε ταχύτερη εφαρμογή συσταλτικής νομισματικής πολιτικής. Το επιχείρημα αυτό ενισχύεται από τη δήλωση του επικεφαλής της </w:t>
      </w:r>
      <w:r>
        <w:rPr>
          <w:sz w:val="20"/>
          <w:szCs w:val="20"/>
        </w:rPr>
        <w:t>Fed</w:t>
      </w:r>
      <w:r>
        <w:rPr>
          <w:sz w:val="20"/>
          <w:szCs w:val="20"/>
          <w:lang w:val="el-GR"/>
        </w:rPr>
        <w:t>, στον απόηχο της συνεδρίασης της 26</w:t>
      </w:r>
      <w:r>
        <w:rPr>
          <w:sz w:val="20"/>
          <w:szCs w:val="20"/>
          <w:vertAlign w:val="superscript"/>
          <w:lang w:val="el-GR"/>
        </w:rPr>
        <w:t>ης</w:t>
      </w:r>
      <w:r>
        <w:rPr>
          <w:sz w:val="20"/>
          <w:szCs w:val="20"/>
          <w:lang w:val="el-GR"/>
        </w:rPr>
        <w:t xml:space="preserve"> Ιανουαρίου, ότι δεν θα επιτραπεί να παγιωθεί ο πληθωρισμός στα τρέχοντα υψηλά επίπεδα. Η δήλωση αυτή ερμηνεύτηκε ως προπομπός αύξησης των επιτοκίων στην επόμενη συνεδρίαση του Μαρτίου.</w:t>
      </w:r>
    </w:p>
    <w:p>
      <w:pPr>
        <w:pStyle w:val="Style19"/>
        <w:spacing w:lineRule="auto" w:line="249" w:before="94" w:after="0"/>
        <w:ind w:left="1758" w:right="170" w:hanging="0"/>
        <w:jc w:val="both"/>
        <w:rPr>
          <w:sz w:val="20"/>
          <w:szCs w:val="20"/>
          <w:lang w:val="el-GR"/>
        </w:rPr>
      </w:pPr>
      <w:r>
        <w:rPr>
          <w:sz w:val="20"/>
          <w:szCs w:val="20"/>
          <w:lang w:val="el-GR"/>
        </w:rPr>
        <mc:AlternateContent>
          <mc:Choice Requires="wpg">
            <w:drawing>
              <wp:anchor behindDoc="0" distT="0" distB="0" distL="0" distR="0" simplePos="0" locked="0" layoutInCell="0" allowOverlap="1" relativeHeight="66" wp14:anchorId="4BFBBFFF">
                <wp:simplePos x="0" y="0"/>
                <wp:positionH relativeFrom="margin">
                  <wp:posOffset>0</wp:posOffset>
                </wp:positionH>
                <wp:positionV relativeFrom="paragraph">
                  <wp:posOffset>60325</wp:posOffset>
                </wp:positionV>
                <wp:extent cx="7180580" cy="3239770"/>
                <wp:effectExtent l="0" t="0" r="2540" b="0"/>
                <wp:wrapNone/>
                <wp:docPr id="7" name="Group 399"/>
                <a:graphic xmlns:a="http://schemas.openxmlformats.org/drawingml/2006/main">
                  <a:graphicData uri="http://schemas.microsoft.com/office/word/2010/wordprocessingGroup">
                    <wpg:wgp>
                      <wpg:cNvGrpSpPr/>
                      <wpg:grpSpPr>
                        <a:xfrm>
                          <a:off x="0" y="0"/>
                          <a:ext cx="7179840" cy="3239280"/>
                          <a:chOff x="0" y="60480"/>
                          <a:chExt cx="7179840" cy="3239280"/>
                        </a:xfrm>
                      </wpg:grpSpPr>
                      <wps:wsp>
                        <wps:cNvSpPr/>
                        <wps:spPr>
                          <a:xfrm>
                            <a:off x="0" y="0"/>
                            <a:ext cx="1019880" cy="323928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rPr>
                                <w:t>ΓΡΑΦΗΜΑ 4</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 xml:space="preserve">Πηγή: </w:t>
                              </w: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Bloomberg</w:t>
                              </w:r>
                            </w:p>
                          </w:txbxContent>
                        </wps:txbx>
                        <wps:bodyPr anchor="t" upright="1">
                          <a:noAutofit/>
                        </wps:bodyPr>
                      </wps:wsp>
                      <wps:wsp>
                        <wps:cNvSpPr/>
                        <wps:spPr>
                          <a:xfrm>
                            <a:off x="1139040" y="0"/>
                            <a:ext cx="6040800" cy="323928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 xml:space="preserve">Η εξέλιξη επιλεγμένων χρηματιστηριακών δεικτών </w:t>
                              </w:r>
                            </w:p>
                            <w:p>
                              <w:pPr>
                                <w:overflowPunct w:val="false"/>
                                <w:spacing w:before="0" w:after="0" w:lineRule="auto" w:line="240"/>
                                <w:jc w:val="left"/>
                                <w:rPr/>
                              </w:pPr>
                              <w:r>
                                <w:rPr>
                                  <w:sz w:val="22"/>
                                </w:rPr>
                              </w:r>
                            </w:p>
                          </w:txbxContent>
                        </wps:txbx>
                        <wps:bodyPr anchor="t" upright="1">
                          <a:noAutofit/>
                        </wps:bodyPr>
                      </wps:wsp>
                    </wpg:wgp>
                  </a:graphicData>
                </a:graphic>
              </wp:anchor>
            </w:drawing>
          </mc:Choice>
          <mc:Fallback>
            <w:pict>
              <v:group id="shape_0" alt="Group 399" style="position:absolute;margin-left:0pt;margin-top:4.75pt;width:565.35pt;height:255.05pt" coordorigin="0,95" coordsize="11307,5101">
                <v:rect id="shape_0" ID="Rectangle 24" path="m0,0l-2147483645,0l-2147483645,-2147483646l0,-2147483646xe" fillcolor="#e5e4de" stroked="f" o:allowincell="f" style="position:absolute;left:0;top:95;width:1605;height:5100;mso-wrap-style:square;v-text-anchor:top;mso-position-horizontal-relative:margin">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rPr>
                          <w:t>ΓΡΑΦΗΜΑ 4</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 xml:space="preserve">Πηγή: </w:t>
                        </w: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Bloomberg</w:t>
                        </w:r>
                      </w:p>
                    </w:txbxContent>
                  </v:textbox>
                  <v:fill o:detectmouseclick="t" type="solid" color2="#1a1b21"/>
                  <v:stroke color="#3465a4" joinstyle="round" endcap="flat"/>
                  <w10:wrap type="none"/>
                </v:rect>
              </v:group>
            </w:pict>
          </mc:Fallback>
        </mc:AlternateContent>
      </w:r>
    </w:p>
    <w:p>
      <w:pPr>
        <w:pStyle w:val="Style19"/>
        <w:spacing w:lineRule="auto" w:line="249" w:before="94" w:after="0"/>
        <w:ind w:left="1758" w:right="170"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Ποιες είναι, όμως, οι πιθανές επιπτώσεις από την άνοδο των επιτοκίων, οι οποίες ενδέχεται να προκαλούν νευρικότητα στις αγορές;</w: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Πρώτον, η ενδεχόμενη επιβράδυνση του ρυθμού μεγέθυνσης της οικονομίας των ΗΠΑ. Η οικονομική δραστηριότητα παρουσιάζει ήδη ενδείξεις επιβράδυνσης, οι οποίες μπορεί να ενταθούν με την αύξηση των επιτοκίων. Ο δείκτης PMI στις υπηρεσίες κατέγραψε, τον Ιανουάριο, τη χαμηλότερη επίδοση των τελευταίων 18 μηνών (50,9 μονάδες), ενώ οι λιανικές πωλήσεις σημείωσαν, τον περασμένο Δεκέμβριο, τη δεύτερη μεγαλύτερη μηνιαία πτώση εντός του 2021 (-1,9%). Επιπλέον, ο Δείκτης Καταναλωτικής Εμπιστοσύνης υποχώρησε, τον Ιανουάριο, στα χαμηλότερα επίπεδα (67,2 μονάδες) από τα τέλη του 2011 (Γράφημα 6). Η υποχώρηση των οικονομικών δεικτών σε ετήσια βάση οφείλεται, κυρίως, στο γεγονός ότι, στην αντίστοιχη περίοδο πέρυσι, η οικονομία των ΗΠΑ τροφοδοτήθηκε  από το δημοσιονομικό πρόγραμμα</w:t>
      </w:r>
      <w:r>
        <w:rPr>
          <w:color w:val="C00000"/>
          <w:sz w:val="20"/>
          <w:szCs w:val="20"/>
          <w:lang w:val="el-GR"/>
        </w:rPr>
        <w:t xml:space="preserve"> </w:t>
      </w:r>
      <w:r>
        <w:rPr>
          <w:sz w:val="20"/>
          <w:szCs w:val="20"/>
          <w:lang w:val="el-GR"/>
        </w:rPr>
        <w:t>ύψους 1,9 τρισ. δολαρίων. Το ΑΕΠ στις ΗΠΑ αυξήθηκε κατά 5,7%, το 2021, ενώ το Διεθνές Νομισματικό Ταμείο (</w:t>
      </w:r>
      <w:r>
        <w:rPr>
          <w:sz w:val="20"/>
          <w:szCs w:val="20"/>
        </w:rPr>
        <w:t>World</w:t>
      </w:r>
      <w:r>
        <w:rPr>
          <w:sz w:val="20"/>
          <w:szCs w:val="20"/>
          <w:lang w:val="el-GR"/>
        </w:rPr>
        <w:t xml:space="preserve"> </w:t>
      </w:r>
      <w:r>
        <w:rPr>
          <w:sz w:val="20"/>
          <w:szCs w:val="20"/>
        </w:rPr>
        <w:t>Economic</w:t>
      </w:r>
      <w:r>
        <w:rPr>
          <w:sz w:val="20"/>
          <w:szCs w:val="20"/>
          <w:lang w:val="el-GR"/>
        </w:rPr>
        <w:t xml:space="preserve"> </w:t>
      </w:r>
      <w:r>
        <w:rPr>
          <w:sz w:val="20"/>
          <w:szCs w:val="20"/>
        </w:rPr>
        <w:t>Outlook</w:t>
      </w:r>
      <w:r>
        <w:rPr>
          <w:sz w:val="20"/>
          <w:szCs w:val="20"/>
          <w:lang w:val="el-GR"/>
        </w:rPr>
        <w:t xml:space="preserve"> </w:t>
      </w:r>
      <w:r>
        <w:rPr>
          <w:sz w:val="20"/>
          <w:szCs w:val="20"/>
        </w:rPr>
        <w:t>Update</w:t>
      </w:r>
      <w:r>
        <w:rPr>
          <w:sz w:val="20"/>
          <w:szCs w:val="20"/>
          <w:lang w:val="el-GR"/>
        </w:rPr>
        <w:t xml:space="preserve">, </w:t>
      </w:r>
      <w:r>
        <w:rPr>
          <w:sz w:val="20"/>
          <w:szCs w:val="20"/>
        </w:rPr>
        <w:t>January</w:t>
      </w:r>
      <w:r>
        <w:rPr>
          <w:sz w:val="20"/>
          <w:szCs w:val="20"/>
          <w:lang w:val="el-GR"/>
        </w:rPr>
        <w:t xml:space="preserve"> 2022) προβλέπει αύξηση κατά 4%, το 2022, χαμηλότερη κατά 1,2 ποσοστιαία μονάδα σε σύγκριση με την πρόβλεψη του Οκτωβρίου.</w: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Δεύτερον, ο κίνδυνος συμπίεσης των εταιρικών κερδών, σε περίπτωση επιβράδυνσης της οικονομικής δραστηριότητας και μείωσης της πρόσβασης των εταιρειών σε φθηνό δανεισμό, καθώς η άνοδος των επιτοκίων συνεπάγεται την αύξηση των αποδόσεων τόσο των κρατικών, όσο και των εταιρικών ομολόγων. Η άνοδος των μακροπρόθεσμων επιτοκίων έχει  ιδιαίτερα αρνητική επίδραση στις μετοχές των εταιρειών τεχνολογίας, οι οποίες τιμολογούνται για την αύξηση των κερδών σε μακροχρόνιο ορίζοντα</w:t>
      </w:r>
      <w:r>
        <w:rPr>
          <w:lang w:val="el-GR"/>
        </w:rPr>
        <w:t xml:space="preserve"> (</w:t>
      </w:r>
      <w:r>
        <w:rPr>
          <w:i/>
          <w:iCs/>
          <w:sz w:val="20"/>
          <w:szCs w:val="20"/>
        </w:rPr>
        <w:t>Economist</w:t>
      </w:r>
      <w:r>
        <w:rPr>
          <w:i/>
          <w:iCs/>
          <w:lang w:val="el-GR"/>
        </w:rPr>
        <w:t xml:space="preserve">: </w:t>
      </w:r>
      <w:r>
        <w:rPr>
          <w:i/>
          <w:iCs/>
          <w:sz w:val="20"/>
          <w:szCs w:val="20"/>
          <w:lang w:val="el-GR"/>
        </w:rPr>
        <w:t xml:space="preserve">The reasons behind the stockmarket turmoil, 29 </w:t>
      </w:r>
      <w:r>
        <w:rPr>
          <w:i/>
          <w:iCs/>
          <w:sz w:val="20"/>
          <w:szCs w:val="20"/>
        </w:rPr>
        <w:t>January</w:t>
      </w:r>
      <w:r>
        <w:rPr>
          <w:i/>
          <w:iCs/>
          <w:sz w:val="20"/>
          <w:szCs w:val="20"/>
          <w:lang w:val="el-GR"/>
        </w:rPr>
        <w:t xml:space="preserve"> 2022</w:t>
      </w:r>
      <w:r>
        <w:rPr>
          <w:sz w:val="20"/>
          <w:szCs w:val="20"/>
          <w:lang w:val="el-GR"/>
        </w:rPr>
        <w:t xml:space="preserve">). Τούτο,  πιθανότατα, εξηγεί τη μεγάλη πτώση του δείκτη Nasdaq εταιρειών τεχνολογίας, τον Ιανουάριο. Επιπλέον, η εταιρική κερδοφορία αναμένεται να συμπιεστεί περαιτέρω, εξαιτίας του αυξανόμενου μισθολογικού κόστους. Η μείωση της προσφοράς εργασίας στις ΗΠΑ, ως απόρροια της πτώσης του ποσοστού συμμετοχής στο εργατικό δυναμικό (βλ. </w:t>
      </w:r>
      <w:hyperlink r:id="rId4">
        <w:r>
          <w:rPr>
            <w:sz w:val="20"/>
            <w:szCs w:val="20"/>
            <w:lang w:val="el-GR"/>
          </w:rPr>
          <w:t>Εβδομαδιαίο Δελτίο Οικονομικών Εξελίξεων της 28.1.2022</w:t>
        </w:r>
      </w:hyperlink>
      <w:r>
        <w:rPr>
          <w:sz w:val="20"/>
          <w:szCs w:val="20"/>
          <w:lang w:val="el-GR"/>
        </w:rPr>
        <w:t>), έχει ως επακόλουθο την αύξηση των ονομαστικών μισθών. Αναφέρεται χαρακτηριστικά ότι οι μέσες ωριαίες αποδοχές από εργασία αυξήθηκαν κατά 4,7% σε ετήσια βάση, τον Δεκέμβριο και 4%, κατά μέσο όρο, το 2021.</w: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b/>
          <w:b/>
          <w:bCs/>
          <w:sz w:val="20"/>
          <w:szCs w:val="20"/>
          <w:lang w:val="el-GR"/>
        </w:rPr>
      </w:pPr>
      <w:r>
        <w:rPr>
          <w:b/>
          <w:bCs/>
          <w:sz w:val="20"/>
          <w:szCs w:val="20"/>
          <w:lang w:val="el-GR"/>
        </w:rPr>
        <w:t>Σημαντικοί παράγοντες για την πορεία των χρηματιστηριακών δεικτών</w: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 xml:space="preserve">Η πολιτική της </w:t>
      </w:r>
      <w:r>
        <w:rPr>
          <w:sz w:val="20"/>
          <w:szCs w:val="20"/>
        </w:rPr>
        <w:t>Fed</w:t>
      </w:r>
      <w:r>
        <w:rPr>
          <w:sz w:val="20"/>
          <w:szCs w:val="20"/>
          <w:lang w:val="el-GR"/>
        </w:rPr>
        <w:t xml:space="preserve"> στο ζήτημα των επιτοκίων αποτελεί, στην τρέχουσα συγκυρία, τον σημαντικότερο παράγοντα για την πορεία των χρηματιστηριακών δεικτών. Η αύξηση των επιτοκίων, μέχρι το σημείο στο οποίο θα μετριαστούν οι πληθωριστικές πιέσεις χωρίς να υπονομεύεται η αναπτυξιακή διαδικασία, θα καθορίσει τις εξελίξεις. </w: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Παράλληλα, ορισμένοι σημαντικοί παράγοντες, οι οποίοι δύνανται να αυξήσουν το κόστος παραγωγής, μειώνοντας την εταιρική κερδοφορία και, κατά συνέπεια, την αξία των μετοχών, είναι η συνέχιση αφενός των διαταράξεων της εφοδιαστικής αλυσίδας και αφετέρου της ενεργειακής κρίσης. Επιπλέον, σημαντικός αστάθμητος παράγοντας είναι οι γεωπολιτικές εντάσεις σε διάφορες περιοχές του πλανήτη, η όξυνση των οποίων θα μπορούσε να οδηγήσει σε ραγδαία επιδείνωση του επενδυτικού κλίματος. Ιδιαίτερα, η όξυνση των ήδη τεταμένων σχέσεων μεταξύ της Ουκρανίας και της Ρωσίας θα μπορούσε να επιδεινώσει έτι περαιτέρω την ενεργειακή κρίση.</w:t>
      </w:r>
    </w:p>
    <w:p>
      <w:pPr>
        <w:pStyle w:val="Style19"/>
        <w:overflowPunct w:val="true"/>
        <w:ind w:left="1758" w:right="227" w:hanging="0"/>
        <w:jc w:val="both"/>
        <w:rPr>
          <w:sz w:val="20"/>
          <w:szCs w:val="20"/>
          <w:lang w:val="el-GR"/>
        </w:rPr>
      </w:pPr>
      <w:r>
        <w:rPr>
          <w:sz w:val="20"/>
          <w:szCs w:val="20"/>
          <w:lang w:val="el-GR"/>
        </w:rPr>
        <mc:AlternateContent>
          <mc:Choice Requires="wpg">
            <w:drawing>
              <wp:anchor behindDoc="0" distT="0" distB="0" distL="0" distR="0" simplePos="0" locked="0" layoutInCell="0" allowOverlap="1" relativeHeight="68" wp14:anchorId="500E4CD3">
                <wp:simplePos x="0" y="0"/>
                <wp:positionH relativeFrom="margin">
                  <wp:posOffset>0</wp:posOffset>
                </wp:positionH>
                <wp:positionV relativeFrom="paragraph">
                  <wp:posOffset>105410</wp:posOffset>
                </wp:positionV>
                <wp:extent cx="7180580" cy="3239770"/>
                <wp:effectExtent l="0" t="0" r="2540" b="0"/>
                <wp:wrapNone/>
                <wp:docPr id="8" name="Group 399"/>
                <a:graphic xmlns:a="http://schemas.openxmlformats.org/drawingml/2006/main">
                  <a:graphicData uri="http://schemas.microsoft.com/office/word/2010/wordprocessingGroup">
                    <wpg:wgp>
                      <wpg:cNvGrpSpPr/>
                      <wpg:grpSpPr>
                        <a:xfrm>
                          <a:off x="0" y="0"/>
                          <a:ext cx="7179840" cy="3239280"/>
                          <a:chOff x="0" y="105480"/>
                          <a:chExt cx="7179840" cy="3239280"/>
                        </a:xfrm>
                      </wpg:grpSpPr>
                      <wps:wsp>
                        <wps:cNvSpPr/>
                        <wps:spPr>
                          <a:xfrm>
                            <a:off x="0" y="0"/>
                            <a:ext cx="1019880" cy="323928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rPr>
                                <w:t>ΓΡΑΦΗΜΑ 5</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 xml:space="preserve">Πηγή: </w:t>
                              </w: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Bloomberg</w:t>
                              </w:r>
                            </w:p>
                          </w:txbxContent>
                        </wps:txbx>
                        <wps:bodyPr anchor="t" upright="1">
                          <a:noAutofit/>
                        </wps:bodyPr>
                      </wps:wsp>
                      <wps:wsp>
                        <wps:cNvSpPr/>
                        <wps:spPr>
                          <a:xfrm>
                            <a:off x="1139040" y="0"/>
                            <a:ext cx="6040800" cy="323928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 xml:space="preserve">Οι αποδόσεις κύριων χρηματιστηριακών δεικτών τον Ιανουάριο </w:t>
                              </w:r>
                            </w:p>
                            <w:p>
                              <w:pPr>
                                <w:overflowPunct w:val="false"/>
                                <w:spacing w:before="0" w:after="0" w:lineRule="auto" w:line="240"/>
                                <w:jc w:val="left"/>
                                <w:rPr/>
                              </w:pPr>
                              <w:r>
                                <w:rPr>
                                  <w:sz w:val="22"/>
                                </w:rPr>
                              </w:r>
                            </w:p>
                          </w:txbxContent>
                        </wps:txbx>
                        <wps:bodyPr anchor="t" upright="1">
                          <a:noAutofit/>
                        </wps:bodyPr>
                      </wps:wsp>
                    </wpg:wgp>
                  </a:graphicData>
                </a:graphic>
              </wp:anchor>
            </w:drawing>
          </mc:Choice>
          <mc:Fallback>
            <w:pict>
              <v:group id="shape_0" alt="Group 399" style="position:absolute;margin-left:0pt;margin-top:8.3pt;width:565.35pt;height:255.05pt" coordorigin="0,166" coordsize="11307,5101">
                <v:rect id="shape_0" ID="Rectangle 24" path="m0,0l-2147483645,0l-2147483645,-2147483646l0,-2147483646xe" fillcolor="#e5e4de" stroked="f" o:allowincell="f" style="position:absolute;left:0;top:166;width:1605;height:5100;mso-wrap-style:square;v-text-anchor:top;mso-position-horizontal-relative:margin">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rPr>
                          <w:t>ΓΡΑΦΗΜΑ 5</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 xml:space="preserve">Πηγή: </w:t>
                        </w: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Bloomberg</w:t>
                        </w:r>
                      </w:p>
                    </w:txbxContent>
                  </v:textbox>
                  <v:fill o:detectmouseclick="t" type="solid" color2="#1a1b21"/>
                  <v:stroke color="#3465a4" joinstyle="round" endcap="flat"/>
                  <w10:wrap type="none"/>
                </v:rect>
              </v:group>
            </w:pict>
          </mc:Fallback>
        </mc:AlternateConten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Παράγοντες που θα μπορούσαν να βελτιώσουν το επενδυτικό κλίμα είναι η αποδυνάμωση της πανδημίας εντός του έτους και η ταχεία εξασθένιση των πληθωριστικών πιέσεων. Επιπλέον, όσον αφορά στους ευρωπαϊκούς δείκτες, η χρηματοδότηση των κρατών-μελών της Ευρωπαϊκής Ένωσης από το Ταμείο Ανάκαμψης αναμένεται να προσφέρει σημαντική ώθηση στις οικονομίες τους και, συνεπώς, στην επιχειρηματική δραστηριότητα και τα εταιρικά κέρδη.</w: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mc:AlternateContent>
          <mc:Choice Requires="wpg">
            <w:drawing>
              <wp:anchor behindDoc="0" distT="0" distB="0" distL="0" distR="0" simplePos="0" locked="0" layoutInCell="0" allowOverlap="1" relativeHeight="67" wp14:anchorId="3A8353FC">
                <wp:simplePos x="0" y="0"/>
                <wp:positionH relativeFrom="column">
                  <wp:posOffset>0</wp:posOffset>
                </wp:positionH>
                <wp:positionV relativeFrom="paragraph">
                  <wp:posOffset>-635</wp:posOffset>
                </wp:positionV>
                <wp:extent cx="7220585" cy="3482340"/>
                <wp:effectExtent l="0" t="0" r="0" b="4445"/>
                <wp:wrapNone/>
                <wp:docPr id="9" name="Group 399"/>
                <a:graphic xmlns:a="http://schemas.openxmlformats.org/drawingml/2006/main">
                  <a:graphicData uri="http://schemas.microsoft.com/office/word/2010/wordprocessingGroup">
                    <wpg:wgp>
                      <wpg:cNvGrpSpPr/>
                      <wpg:grpSpPr>
                        <a:xfrm>
                          <a:off x="0" y="0"/>
                          <a:ext cx="7219800" cy="3481560"/>
                          <a:chOff x="0" y="-720"/>
                          <a:chExt cx="7219800" cy="3481560"/>
                        </a:xfrm>
                      </wpg:grpSpPr>
                      <wps:wsp>
                        <wps:cNvSpPr/>
                        <wps:spPr>
                          <a:xfrm>
                            <a:off x="0" y="0"/>
                            <a:ext cx="1020960" cy="348156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lang w:val="en-US"/>
                                </w:rPr>
                                <w:t>ΓΡΑΦΗΜΑ 6</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 xml:space="preserve">Πηγή: Bloomberg </w:t>
                              </w:r>
                            </w:p>
                          </w:txbxContent>
                        </wps:txbx>
                        <wps:bodyPr anchor="t" upright="1">
                          <a:noAutofit/>
                        </wps:bodyPr>
                      </wps:wsp>
                      <wps:wsp>
                        <wps:cNvSpPr/>
                        <wps:spPr>
                          <a:xfrm>
                            <a:off x="1160280" y="0"/>
                            <a:ext cx="6059880" cy="348156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ΗΠΑ: Ενδείξεις επιβράδυνσης της οικονομικής δραστηριότητας</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Arial" w:ascii="Arial" w:hAnsi="Arial" w:cs="Arial"/>
                                  <w:color w:val="auto"/>
                                </w:rPr>
                                <w:t xml:space="preserve">  </w:t>
                              </w:r>
                            </w:p>
                          </w:txbxContent>
                        </wps:txbx>
                        <wps:bodyPr anchor="t" upright="1">
                          <a:noAutofit/>
                        </wps:bodyPr>
                      </wps:wsp>
                    </wpg:wgp>
                  </a:graphicData>
                </a:graphic>
              </wp:anchor>
            </w:drawing>
          </mc:Choice>
          <mc:Fallback>
            <w:pict>
              <v:group id="shape_0" alt="Group 399" style="position:absolute;margin-left:0pt;margin-top:-0.05pt;width:568.5pt;height:274.15pt" coordorigin="0,-1" coordsize="11370,5483">
                <v:rect id="shape_0" ID="Rectangle 24" path="m0,0l-2147483645,0l-2147483645,-2147483646l0,-2147483646xe" fillcolor="#e5e4de" stroked="f" o:allowincell="f" style="position:absolute;left:0;top:-1;width:1607;height:5482;mso-wrap-style:square;v-text-anchor:top">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lang w:val="en-US"/>
                          </w:rPr>
                          <w:t>ΓΡΑΦΗΜΑ 6</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 xml:space="preserve">Πηγή: Bloomberg </w:t>
                        </w:r>
                      </w:p>
                    </w:txbxContent>
                  </v:textbox>
                  <v:fill o:detectmouseclick="t" type="solid" color2="#1a1b21"/>
                  <v:stroke color="#3465a4" joinstyle="round" endcap="flat"/>
                  <w10:wrap type="none"/>
                </v:rect>
              </v:group>
            </w:pict>
          </mc:Fallback>
        </mc:AlternateConten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spacing w:before="69" w:after="0"/>
        <w:ind w:right="170" w:hanging="0"/>
        <w:jc w:val="both"/>
        <w:rPr>
          <w:lang w:val="el-GR"/>
        </w:rPr>
      </w:pPr>
      <w:r>
        <w:rPr>
          <w:lang w:val="el-GR"/>
        </w:rPr>
        <w:drawing>
          <wp:anchor behindDoc="0" distT="0" distB="0" distL="114300" distR="114300" simplePos="0" locked="0" layoutInCell="0" allowOverlap="1" relativeHeight="51">
            <wp:simplePos x="0" y="0"/>
            <wp:positionH relativeFrom="margin">
              <wp:posOffset>1094105</wp:posOffset>
            </wp:positionH>
            <wp:positionV relativeFrom="paragraph">
              <wp:posOffset>66675</wp:posOffset>
            </wp:positionV>
            <wp:extent cx="6090920" cy="514350"/>
            <wp:effectExtent l="0" t="0" r="0" b="0"/>
            <wp:wrapSquare wrapText="bothSides"/>
            <wp:docPr id="10" name="Picture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0" descr=""/>
                    <pic:cNvPicPr>
                      <a:picLocks noChangeAspect="1" noChangeArrowheads="1"/>
                    </pic:cNvPicPr>
                  </pic:nvPicPr>
                  <pic:blipFill>
                    <a:blip r:embed="rId5"/>
                    <a:stretch>
                      <a:fillRect/>
                    </a:stretch>
                  </pic:blipFill>
                  <pic:spPr bwMode="auto">
                    <a:xfrm>
                      <a:off x="0" y="0"/>
                      <a:ext cx="6090920" cy="514350"/>
                    </a:xfrm>
                    <a:prstGeom prst="rect">
                      <a:avLst/>
                    </a:prstGeom>
                  </pic:spPr>
                </pic:pic>
              </a:graphicData>
            </a:graphic>
          </wp:anchor>
        </w:drawing>
      </w:r>
    </w:p>
    <w:p>
      <w:pPr>
        <w:pStyle w:val="Style19"/>
        <w:overflowPunct w:val="true"/>
        <w:spacing w:before="69" w:after="0"/>
        <w:ind w:right="170" w:hanging="0"/>
        <w:jc w:val="both"/>
        <w:rPr>
          <w:lang w:val="el-GR"/>
        </w:rPr>
      </w:pPr>
      <w:r>
        <w:rPr>
          <w:lang w:val="el-GR"/>
        </w:rPr>
      </w:r>
    </w:p>
    <w:p>
      <w:pPr>
        <w:pStyle w:val="Style19"/>
        <w:overflowPunct w:val="true"/>
        <w:spacing w:before="69" w:after="0"/>
        <w:ind w:right="170" w:hanging="0"/>
        <w:jc w:val="both"/>
        <w:rPr>
          <w:lang w:val="el-GR"/>
        </w:rPr>
      </w:pPr>
      <w:r>
        <w:rPr>
          <w:lang w:val="el-GR"/>
        </w:rPr>
      </w:r>
    </w:p>
    <w:p>
      <w:pPr>
        <w:pStyle w:val="Style19"/>
        <w:overflowPunct w:val="true"/>
        <w:spacing w:before="69" w:after="120"/>
        <w:ind w:right="170" w:hanging="0"/>
        <w:jc w:val="both"/>
        <w:rPr>
          <w:lang w:val="el-GR"/>
        </w:rPr>
      </w:pPr>
      <w:r>
        <w:rPr>
          <w:lang w:val="el-GR"/>
        </w:rPr>
      </w:r>
    </w:p>
    <w:p>
      <w:pPr>
        <w:pStyle w:val="1"/>
        <w:pBdr>
          <w:top w:val="single" w:sz="8" w:space="0" w:color="00B0F0"/>
          <w:bottom w:val="single" w:sz="8" w:space="1" w:color="00B0F0"/>
        </w:pBdr>
        <w:tabs>
          <w:tab w:val="clear" w:pos="720"/>
          <w:tab w:val="left" w:pos="11057" w:leader="none"/>
        </w:tabs>
        <w:overflowPunct w:val="true"/>
        <w:spacing w:before="0" w:after="0"/>
        <w:ind w:left="1758" w:right="227" w:hanging="0"/>
        <w:jc w:val="both"/>
        <w:rPr>
          <w:color w:val="63A1AA"/>
        </w:rPr>
      </w:pPr>
      <w:r>
        <w:rPr>
          <w:color w:val="63A1AA"/>
        </w:rPr>
        <w:t>Ισοτιμίες</w:t>
      </w:r>
    </w:p>
    <w:p>
      <w:pPr>
        <w:pStyle w:val="Style19"/>
        <w:tabs>
          <w:tab w:val="clear" w:pos="720"/>
          <w:tab w:val="left" w:pos="11057" w:leader="none"/>
        </w:tabs>
        <w:overflowPunct w:val="true"/>
        <w:ind w:left="1758" w:right="227" w:hanging="0"/>
        <w:jc w:val="both"/>
        <w:rPr>
          <w:lang w:val="el-GR"/>
        </w:rPr>
      </w:pPr>
      <w:r>
        <w:rPr>
          <w:lang w:val="el-GR"/>
        </w:rPr>
      </w:r>
    </w:p>
    <w:p>
      <w:pPr>
        <w:pStyle w:val="Style19"/>
        <w:tabs>
          <w:tab w:val="clear" w:pos="720"/>
          <w:tab w:val="left" w:pos="11057" w:leader="none"/>
        </w:tabs>
        <w:overflowPunct w:val="true"/>
        <w:ind w:left="1758" w:right="227" w:hanging="0"/>
        <w:jc w:val="both"/>
        <w:rPr>
          <w:sz w:val="20"/>
          <w:szCs w:val="20"/>
          <w:lang w:val="el-GR"/>
        </w:rPr>
      </w:pPr>
      <w:r>
        <w:rPr>
          <w:sz w:val="20"/>
          <w:szCs w:val="20"/>
          <w:lang w:val="el-GR"/>
        </w:rPr>
        <w:t>Σύμφωνα με τα στοιχεία του Χρηματιστηρίου του Σικάγο, οι συνολικές καθαρές τοποθετήσεις (αγορές μείον πωλήσεις), στην ισοτιμία του ευρώ με το δολάριο, διατηρήθηκαν θετικές, την εβδομάδα που έληξε την 1</w:t>
      </w:r>
      <w:r>
        <w:rPr>
          <w:sz w:val="20"/>
          <w:szCs w:val="20"/>
          <w:vertAlign w:val="superscript"/>
          <w:lang w:val="el-GR"/>
        </w:rPr>
        <w:t xml:space="preserve">η </w:t>
      </w:r>
      <w:r>
        <w:rPr>
          <w:sz w:val="20"/>
          <w:szCs w:val="20"/>
          <w:lang w:val="el-GR"/>
        </w:rPr>
        <w:t>Φεβρουαρίου. Οι θετικές θέσεις (υπέρ του ευρώ, ‟long”) μειώθηκαν κατά 1.844 συμβόλαια, με αποτέλεσμα οι συνολικές καθαρές θέσεις να διαμορφωθούν στα 29.716 συμβόλαια από 31.560 συμβόλαια, την προηγούμενη εβδομάδα (Γράφημα 7). Σημειώνεται ότι πρόκειται για την πρώτη εβδομαδιαία μείωση που καταγράφεται από τις 14 Δεκεμβρίου.</w:t>
      </w:r>
    </w:p>
    <w:p>
      <w:pPr>
        <w:pStyle w:val="Style19"/>
        <w:tabs>
          <w:tab w:val="clear" w:pos="720"/>
          <w:tab w:val="left" w:pos="11057" w:leader="none"/>
        </w:tabs>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bCs/>
          <w:sz w:val="20"/>
          <w:szCs w:val="20"/>
          <w:lang w:val="el-GR"/>
        </w:rPr>
      </w:pPr>
      <w:r>
        <w:rPr>
          <w:b/>
          <w:sz w:val="20"/>
          <w:szCs w:val="20"/>
          <w:lang w:val="el-GR"/>
        </w:rPr>
        <w:t xml:space="preserve">Ευρώ (EUR/USD) ► </w:t>
      </w:r>
      <w:r>
        <w:rPr>
          <w:bCs/>
          <w:sz w:val="20"/>
          <w:szCs w:val="20"/>
          <w:lang w:val="el-GR"/>
        </w:rPr>
        <w:t>Η ισοτιμία του ευρώ με το δολάριο, στις 4 Φεβρουαρίου, στην Ευρώπη, διαμορφωνόταν περί τα 1,1471 δολάρια, με αποτέλεσμα το ευρώ να σημειώνει, από τις αρχές του έτους, κέρδη έναντι του δολαρίου (0,9%), ενώ διαπραγματευόταν υψηλότερα κατά 10,9%, συγκριτικά με το χαμηλό που είχε καταγράψει, στις 3 Ιανουαρίου 2017 (USD 1,0342).</w:t>
      </w:r>
    </w:p>
    <w:p>
      <w:pPr>
        <w:pStyle w:val="Style19"/>
        <w:overflowPunct w:val="true"/>
        <w:ind w:left="1758" w:right="227" w:hanging="0"/>
        <w:jc w:val="both"/>
        <w:rPr>
          <w:bCs/>
          <w:sz w:val="20"/>
          <w:szCs w:val="20"/>
          <w:lang w:val="el-GR"/>
        </w:rPr>
      </w:pPr>
      <w:r>
        <w:rPr>
          <w:bCs/>
          <w:sz w:val="20"/>
          <w:szCs w:val="20"/>
          <w:lang w:val="el-GR"/>
        </w:rPr>
      </w:r>
    </w:p>
    <w:p>
      <w:pPr>
        <w:pStyle w:val="Style19"/>
        <w:overflowPunct w:val="true"/>
        <w:ind w:left="1758" w:right="227" w:hanging="0"/>
        <w:jc w:val="both"/>
        <w:rPr>
          <w:bCs/>
          <w:sz w:val="20"/>
          <w:szCs w:val="20"/>
          <w:lang w:val="el-GR"/>
        </w:rPr>
      </w:pPr>
      <w:r>
        <w:rPr>
          <w:bCs/>
          <w:sz w:val="20"/>
          <w:szCs w:val="20"/>
          <w:lang w:val="el-GR"/>
        </w:rPr>
        <w:t>Σημαντική άνοδο καταγράφει το ευρώ έναντι του δολαρίου από τα τέλη Ιανουαρίου, με αποτέλεσμα να υπερκαλύψει τις απώλειες που σημείωνε από τη αρχή του έτους έναντι του αμερικανικού νομίσματος. Ώθηση στο ευρώ έδωσαν οι δηλώσεις της επικεφαλής της Ευρωπαϊκής Κεντρικής Τράπεζας (ΕΚΤ), μετά το πέρας της συνεδρίασης της 3</w:t>
      </w:r>
      <w:r>
        <w:rPr>
          <w:bCs/>
          <w:sz w:val="20"/>
          <w:szCs w:val="20"/>
          <w:vertAlign w:val="superscript"/>
          <w:lang w:val="el-GR"/>
        </w:rPr>
        <w:t>ης</w:t>
      </w:r>
      <w:r>
        <w:rPr>
          <w:bCs/>
          <w:sz w:val="20"/>
          <w:szCs w:val="20"/>
          <w:lang w:val="el-GR"/>
        </w:rPr>
        <w:t xml:space="preserve"> Φεβρουαρίου. Παρά το γεγονός ότι τα επιτόκια παρέμειναν αμετάβλητα, όπως αναμενόταν, η </w:t>
      </w:r>
      <w:r>
        <w:rPr>
          <w:bCs/>
          <w:sz w:val="20"/>
          <w:szCs w:val="20"/>
        </w:rPr>
        <w:t>C</w:t>
      </w:r>
      <w:r>
        <w:rPr>
          <w:bCs/>
          <w:sz w:val="20"/>
          <w:szCs w:val="20"/>
          <w:lang w:val="el-GR"/>
        </w:rPr>
        <w:t xml:space="preserve">hristine </w:t>
      </w:r>
      <w:r>
        <w:rPr>
          <w:bCs/>
          <w:sz w:val="20"/>
          <w:szCs w:val="20"/>
        </w:rPr>
        <w:t>L</w:t>
      </w:r>
      <w:r>
        <w:rPr>
          <w:bCs/>
          <w:sz w:val="20"/>
          <w:szCs w:val="20"/>
          <w:lang w:val="el-GR"/>
        </w:rPr>
        <w:t xml:space="preserve">agarde τόνισε ότι υπάρχει ανησυχία στο Διοικητικό Συμβούλιο της ΕΚΤ, καθώς ο πληθωρισμός θα παραμείνει σε υψηλά επίπεδα για μεγαλύτερο διάστημα από αυτό που αρχικά αναμενόταν. Η δήλωση αυτή, ενδεχομένως, να σηματοδοτήσει την απαρχή της μεταστροφής της νομισματικής πολιτικής της ΕΚΤ στο ζήτημα των επιτοκίων, κάτι που θα διαφανεί πληρέστερα στην επόμενη συνεδρίαση του Μαρτίου.    </w:t>
      </w:r>
    </w:p>
    <w:p>
      <w:pPr>
        <w:pStyle w:val="Style19"/>
        <w:overflowPunct w:val="true"/>
        <w:ind w:right="227" w:hanging="0"/>
        <w:jc w:val="both"/>
        <w:rPr>
          <w:b/>
          <w:b/>
          <w:sz w:val="20"/>
          <w:szCs w:val="20"/>
          <w:lang w:val="el-GR"/>
        </w:rPr>
      </w:pPr>
      <w:r>
        <w:rPr>
          <w:b/>
          <w:sz w:val="20"/>
          <w:szCs w:val="20"/>
          <w:lang w:val="el-GR"/>
        </w:rPr>
      </w:r>
    </w:p>
    <w:p>
      <w:pPr>
        <w:pStyle w:val="Style19"/>
        <w:overflowPunct w:val="true"/>
        <w:ind w:left="1758" w:right="227" w:hanging="0"/>
        <w:jc w:val="both"/>
        <w:rPr>
          <w:sz w:val="20"/>
          <w:szCs w:val="20"/>
          <w:lang w:val="el-GR"/>
        </w:rPr>
      </w:pPr>
      <w:r>
        <w:rPr>
          <w:b/>
          <w:sz w:val="20"/>
          <w:szCs w:val="20"/>
          <w:lang w:val="el-GR"/>
        </w:rPr>
        <w:t>Ελβετικό Φράγκο (CHF) ►</w:t>
      </w:r>
      <w:r>
        <w:rPr>
          <w:sz w:val="20"/>
          <w:szCs w:val="20"/>
          <w:lang w:val="el-GR"/>
        </w:rPr>
        <w:t xml:space="preserve"> Το ευρώ καταγράφει κέρδη έναντι του φράγκου, κινούμενο στην περιοχή των 1,0575 φράγκων (4.2.2022). Από τις αρχές του έτους, το ευρώ σημειώνει κέρδη έναντι του φράγκου, της τάξης του 1,9%.</w: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Βάσει των δημοσιευθέντων νομισματικών στοιχείων της Κεντρικής Τράπεζας της Ελβετίας (SNB), την προηγούμενη εβδομάδα, εκτιμάται ότι δεν υπήρξε παρέμβασή της στην αγορά συναλλάγματος για αποτροπή ενίσχυσης του φράγκου. Το ποσό των μετρητών που οι εμπορικές τράπεζες της Ελβετίας είχαν καταθέσει στην SNB αυξήθηκε οριακά στα 725 δισ. φράγκα, για την εβδομάδα που έληξε στις 4 Φεβρουαρίου, από 724,9 δισ. φράγκα, για την εβδομάδα μέχρι και τις 28 Ιανουαρίου.</w:t>
      </w:r>
    </w:p>
    <w:p>
      <w:pPr>
        <w:pStyle w:val="Style19"/>
        <w:tabs>
          <w:tab w:val="clear" w:pos="720"/>
          <w:tab w:val="left" w:pos="11057" w:leader="none"/>
        </w:tabs>
        <w:overflowPunct w:val="true"/>
        <w:ind w:left="1758" w:right="227" w:hanging="0"/>
        <w:jc w:val="both"/>
        <w:rPr>
          <w:sz w:val="20"/>
          <w:szCs w:val="20"/>
          <w:lang w:val="el-GR"/>
        </w:rPr>
      </w:pPr>
      <w:r>
        <w:rPr>
          <w:sz w:val="20"/>
          <w:szCs w:val="20"/>
          <w:lang w:val="el-GR"/>
        </w:rPr>
      </w:r>
    </w:p>
    <w:p>
      <w:pPr>
        <w:pStyle w:val="Style19"/>
        <w:tabs>
          <w:tab w:val="clear" w:pos="720"/>
          <w:tab w:val="left" w:pos="11057" w:leader="none"/>
        </w:tabs>
        <w:overflowPunct w:val="true"/>
        <w:ind w:left="1758" w:right="227" w:hanging="0"/>
        <w:jc w:val="both"/>
        <w:rPr>
          <w:sz w:val="20"/>
          <w:szCs w:val="20"/>
          <w:lang w:val="el-GR"/>
        </w:rPr>
      </w:pPr>
      <w:r>
        <w:rPr>
          <w:sz w:val="20"/>
          <w:szCs w:val="20"/>
          <w:lang w:val="el-GR"/>
        </w:rPr>
        <mc:AlternateContent>
          <mc:Choice Requires="wpg">
            <w:drawing>
              <wp:anchor behindDoc="1" distT="0" distB="0" distL="0" distR="0" simplePos="0" locked="0" layoutInCell="0" allowOverlap="1" relativeHeight="53" wp14:anchorId="22C314A2">
                <wp:simplePos x="0" y="0"/>
                <wp:positionH relativeFrom="column">
                  <wp:posOffset>0</wp:posOffset>
                </wp:positionH>
                <wp:positionV relativeFrom="paragraph">
                  <wp:posOffset>635</wp:posOffset>
                </wp:positionV>
                <wp:extent cx="7224395" cy="3263265"/>
                <wp:effectExtent l="0" t="0" r="0" b="0"/>
                <wp:wrapNone/>
                <wp:docPr id="11" name="Group 399"/>
                <a:graphic xmlns:a="http://schemas.openxmlformats.org/drawingml/2006/main">
                  <a:graphicData uri="http://schemas.microsoft.com/office/word/2010/wordprocessingGroup">
                    <wpg:wgp>
                      <wpg:cNvGrpSpPr/>
                      <wpg:grpSpPr>
                        <a:xfrm>
                          <a:off x="0" y="0"/>
                          <a:ext cx="7223760" cy="3262680"/>
                          <a:chOff x="0" y="0"/>
                          <a:chExt cx="7223760" cy="3262680"/>
                        </a:xfrm>
                      </wpg:grpSpPr>
                      <wps:wsp>
                        <wps:cNvSpPr/>
                        <wps:spPr>
                          <a:xfrm>
                            <a:off x="0" y="0"/>
                            <a:ext cx="1024200" cy="326268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lang w:val="en-US"/>
                                </w:rPr>
                                <w:t>ΓΡΑΦΗΜΑ 7</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Πηγή:        CFTC, IMM</w:t>
                              </w:r>
                            </w:p>
                          </w:txbxContent>
                        </wps:txbx>
                        <wps:bodyPr anchor="t" upright="1">
                          <a:noAutofit/>
                        </wps:bodyPr>
                      </wps:wsp>
                      <wps:wsp>
                        <wps:cNvSpPr/>
                        <wps:spPr>
                          <a:xfrm>
                            <a:off x="1163880" y="0"/>
                            <a:ext cx="6059880" cy="326268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Specs θέσεις για μη εμπορικές/κερδοσκοπικές συναλλαγές</w:t>
                              </w:r>
                            </w:p>
                            <w:p>
                              <w:pPr>
                                <w:overflowPunct w:val="false"/>
                                <w:spacing w:before="0" w:after="0" w:lineRule="auto" w:line="240"/>
                                <w:jc w:val="left"/>
                                <w:rPr/>
                              </w:pPr>
                              <w:r>
                                <w:rPr>
                                  <w:sz w:val="22"/>
                                </w:rPr>
                              </w:r>
                            </w:p>
                            <w:p>
                              <w:pPr>
                                <w:overflowPunct w:val="false"/>
                                <w:spacing w:before="0" w:after="0" w:lineRule="auto" w:line="240"/>
                                <w:jc w:val="left"/>
                                <w:rPr/>
                              </w:pPr>
                              <w:r>
                                <w:rPr>
                                  <w:sz w:val="22"/>
                                </w:rPr>
                              </w:r>
                            </w:p>
                          </w:txbxContent>
                        </wps:txbx>
                        <wps:bodyPr anchor="t" upright="1">
                          <a:noAutofit/>
                        </wps:bodyPr>
                      </wps:wsp>
                    </wpg:wgp>
                  </a:graphicData>
                </a:graphic>
              </wp:anchor>
            </w:drawing>
          </mc:Choice>
          <mc:Fallback>
            <w:pict>
              <v:group id="shape_0" alt="Group 399" style="position:absolute;margin-left:0pt;margin-top:0pt;width:568.8pt;height:256.9pt" coordorigin="0,0" coordsize="11376,5138">
                <v:rect id="shape_0" ID="Rectangle 24" path="m0,0l-2147483645,0l-2147483645,-2147483646l0,-2147483646xe" fillcolor="#e5e4de" stroked="f" o:allowincell="f" style="position:absolute;left:0;top:0;width:1612;height:5137;mso-wrap-style:square;v-text-anchor:top">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FF0000"/>
                            <w:lang w:val="en-US"/>
                          </w:rPr>
                          <w:t>ΓΡΑΦΗΜΑ 7</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lang w:val="en-US"/>
                          </w:rPr>
                          <w:t>Πηγή:        CFTC, IMM</w:t>
                        </w:r>
                      </w:p>
                    </w:txbxContent>
                  </v:textbox>
                  <v:fill o:detectmouseclick="t" type="solid" color2="#1a1b21"/>
                  <v:stroke color="#3465a4" joinstyle="round" endcap="flat"/>
                  <w10:wrap type="none"/>
                </v:rect>
              </v:group>
            </w:pict>
          </mc:Fallback>
        </mc:AlternateContent>
      </w:r>
    </w:p>
    <w:p>
      <w:pPr>
        <w:pStyle w:val="Style19"/>
        <w:tabs>
          <w:tab w:val="clear" w:pos="720"/>
          <w:tab w:val="left" w:pos="11057" w:leader="none"/>
        </w:tabs>
        <w:overflowPunct w:val="true"/>
        <w:ind w:left="1758" w:right="227" w:hanging="0"/>
        <w:jc w:val="both"/>
        <w:rPr>
          <w:b/>
          <w:b/>
          <w:sz w:val="20"/>
          <w:szCs w:val="20"/>
          <w:lang w:val="el-GR"/>
        </w:rPr>
      </w:pPr>
      <w:r>
        <w:rPr>
          <w:b/>
          <w:sz w:val="20"/>
          <w:szCs w:val="20"/>
          <w:lang w:val="el-GR"/>
        </w:rPr>
      </w:r>
    </w:p>
    <w:p>
      <w:pPr>
        <w:pStyle w:val="Style19"/>
        <w:tabs>
          <w:tab w:val="clear" w:pos="720"/>
          <w:tab w:val="left" w:pos="11057" w:leader="none"/>
        </w:tabs>
        <w:overflowPunct w:val="true"/>
        <w:spacing w:before="69" w:after="0"/>
        <w:ind w:left="1780" w:right="146" w:hanging="0"/>
        <w:rPr>
          <w:lang w:val="el-GR"/>
        </w:rPr>
      </w:pPr>
      <w:r>
        <w:rPr>
          <w:lang w:val="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eastAsia="el-GR"/>
        </w:rPr>
      </w:pPr>
      <w:r>
        <w:rPr>
          <w:lang w:val="el-GR" w:eastAsia="el-GR"/>
        </w:rPr>
      </w:r>
    </w:p>
    <w:p>
      <w:pPr>
        <w:pStyle w:val="Style19"/>
        <w:tabs>
          <w:tab w:val="clear" w:pos="720"/>
          <w:tab w:val="left" w:pos="11057" w:leader="none"/>
        </w:tabs>
        <w:overflowPunct w:val="true"/>
        <w:spacing w:before="69" w:after="0"/>
        <w:ind w:left="1780" w:right="146" w:hanging="0"/>
        <w:rPr>
          <w:lang w:val="el-GR"/>
        </w:rPr>
      </w:pPr>
      <w:r>
        <w:rPr>
          <w:lang w:val="el-GR"/>
        </w:rPr>
      </w:r>
    </w:p>
    <w:p>
      <w:pPr>
        <w:pStyle w:val="Style19"/>
        <w:tabs>
          <w:tab w:val="clear" w:pos="720"/>
          <w:tab w:val="left" w:pos="11057" w:leader="none"/>
        </w:tabs>
        <w:overflowPunct w:val="true"/>
        <w:spacing w:before="69" w:after="0"/>
        <w:ind w:left="1780" w:right="146" w:hanging="0"/>
        <w:rPr>
          <w:lang w:val="el-GR"/>
        </w:rPr>
      </w:pPr>
      <w:r>
        <w:rPr>
          <w:lang w:val="el-GR"/>
        </w:rPr>
      </w:r>
    </w:p>
    <w:p>
      <w:pPr>
        <w:pStyle w:val="Style19"/>
        <w:tabs>
          <w:tab w:val="clear" w:pos="720"/>
          <w:tab w:val="left" w:pos="11057" w:leader="none"/>
        </w:tabs>
        <w:overflowPunct w:val="true"/>
        <w:spacing w:before="69" w:after="0"/>
        <w:ind w:left="1780" w:right="146" w:hanging="0"/>
        <w:rPr>
          <w:lang w:val="el-GR"/>
        </w:rPr>
      </w:pPr>
      <w:r>
        <w:rPr>
          <w:lang w:val="el-GR"/>
        </w:rPr>
      </w:r>
    </w:p>
    <w:p>
      <w:pPr>
        <w:pStyle w:val="Style19"/>
        <w:tabs>
          <w:tab w:val="clear" w:pos="720"/>
          <w:tab w:val="left" w:pos="11057" w:leader="none"/>
        </w:tabs>
        <w:overflowPunct w:val="true"/>
        <w:spacing w:before="69" w:after="0"/>
        <w:ind w:left="1780" w:right="146" w:hanging="0"/>
        <w:rPr>
          <w:lang w:val="el-GR"/>
        </w:rPr>
      </w:pPr>
      <w:r>
        <w:rPr>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b/>
          <w:sz w:val="20"/>
          <w:szCs w:val="20"/>
          <w:lang w:val="el-GR"/>
        </w:rPr>
        <w:t>Στερλίνα (GBP) ►</w:t>
      </w:r>
      <w:r>
        <w:rPr>
          <w:sz w:val="20"/>
          <w:szCs w:val="20"/>
          <w:lang w:val="el-GR"/>
        </w:rPr>
        <w:t xml:space="preserve"> Η στερλίνα, στις 4 Φεβρουαρίου, εμφάνιζε αρνητική εικόνα, καταγράφοντας απώλειες τόσο έναντι του ευρώ (0,8462 GBP/EUR), όσο και έναντι του δολαρίου ΗΠΑ (1,3557 USD/GBP). Σημειώνεται ότι, από τις αρχές του έτους, η στερλίνα καταγράφει απώλειες κατά 0,6% έναντι του ευρώ, αλλά κέρδη κατά 0,2% έναντι του δολαρίου.</w:t>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Πτωτικά κινείται η στερλίνα έναντι των δύο νομισμάτων, έχοντας, ωστόσο, καταγράψει κέρδη έναντι του δολαρίου, στις 3 Φεβρουαρίου, στον απόηχο της απόφασης της Τράπεζας της Αγγλίας (</w:t>
      </w:r>
      <w:r>
        <w:rPr>
          <w:sz w:val="20"/>
          <w:szCs w:val="20"/>
        </w:rPr>
        <w:t>BoE</w:t>
      </w:r>
      <w:r>
        <w:rPr>
          <w:sz w:val="20"/>
          <w:szCs w:val="20"/>
          <w:lang w:val="el-GR"/>
        </w:rPr>
        <w:t>) για αύξηση του βασικού επιτοκίου κατά 25 μονάδες βάσης, στο 0,5%. Πρόκειται για τη δεύτερη διαδοχική αύξηση επιτοκίων, καθώς, στη συνεδρίαση του Δεκεμβρίου, η BoE είχε αυξήσει το βασικό επιτόκιο κατά 15 μονάδες βάσης, στο 0,25%. Η απόφαση εντάσσεται στο πλαίσιο της αντιμετώπισης του υψηλού πληθωρισμού, ο οποίος, τον Δεκέμβριο, διαμορφώθηκε σε 5,4% σε ετήσια βάση, ενώ η BoE εκτιμά ότι θα κορυφωθεί περίπου στο 7,25%, τον Απρίλιο. Αξίζει να σημειωθεί ότι τέσσερα από τα εννέα μέλη της Νομισματικής Επιτροπής ψήφισαν υπέρ της αύξησης του βασικού επιτοκίου στο 0,75%.</w:t>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1"/>
        <w:pBdr>
          <w:top w:val="single" w:sz="8" w:space="0" w:color="00B0F0"/>
          <w:bottom w:val="single" w:sz="8" w:space="1" w:color="00B0F0"/>
        </w:pBdr>
        <w:tabs>
          <w:tab w:val="clear" w:pos="720"/>
          <w:tab w:val="left" w:pos="11057" w:leader="none"/>
        </w:tabs>
        <w:overflowPunct w:val="true"/>
        <w:spacing w:before="0" w:after="0"/>
        <w:ind w:left="1758" w:right="227" w:hanging="0"/>
        <w:jc w:val="both"/>
        <w:rPr>
          <w:color w:val="63A1AA"/>
        </w:rPr>
      </w:pPr>
      <w:r>
        <w:rPr>
          <w:color w:val="63A1AA"/>
        </w:rPr>
        <w:t>Αγορές ομολόγων – Χαρτοφυλάκιο κρατικών ομολόγων Ευρωπαϊκής Κεντρικής Τράπεζας (ΕΚΤ)</w:t>
      </w:r>
    </w:p>
    <w:p>
      <w:pPr>
        <w:pStyle w:val="Style19"/>
        <w:tabs>
          <w:tab w:val="clear" w:pos="720"/>
          <w:tab w:val="left" w:pos="1780" w:leader="none"/>
        </w:tabs>
        <w:overflowPunct w:val="true"/>
        <w:ind w:left="1758" w:right="227" w:hanging="0"/>
        <w:jc w:val="both"/>
        <w:rPr>
          <w:sz w:val="20"/>
          <w:szCs w:val="20"/>
          <w:lang w:val="el-GR"/>
        </w:rPr>
      </w:pPr>
      <w:r>
        <w:rPr>
          <w:sz w:val="20"/>
          <w:szCs w:val="20"/>
          <w:lang w:val="el-GR"/>
        </w:rPr>
      </w:r>
    </w:p>
    <w:p>
      <w:pPr>
        <w:pStyle w:val="Style19"/>
        <w:tabs>
          <w:tab w:val="clear" w:pos="720"/>
          <w:tab w:val="left" w:pos="1780" w:leader="none"/>
        </w:tabs>
        <w:overflowPunct w:val="true"/>
        <w:ind w:left="1758" w:right="227" w:hanging="0"/>
        <w:jc w:val="both"/>
        <w:rPr>
          <w:sz w:val="20"/>
          <w:szCs w:val="20"/>
          <w:lang w:val="el-GR"/>
        </w:rPr>
      </w:pPr>
      <w:r>
        <w:rPr>
          <w:sz w:val="20"/>
          <w:szCs w:val="20"/>
          <w:lang w:val="el-GR"/>
        </w:rPr>
      </w:r>
    </w:p>
    <w:p>
      <w:pPr>
        <w:pStyle w:val="Style19"/>
        <w:tabs>
          <w:tab w:val="clear" w:pos="720"/>
          <w:tab w:val="left" w:pos="1780" w:leader="none"/>
        </w:tabs>
        <w:overflowPunct w:val="true"/>
        <w:ind w:left="1758" w:right="227" w:hanging="0"/>
        <w:jc w:val="both"/>
        <w:rPr>
          <w:sz w:val="20"/>
          <w:szCs w:val="20"/>
          <w:lang w:val="el-GR"/>
        </w:rPr>
      </w:pPr>
      <w:r>
        <w:rPr>
          <w:sz w:val="20"/>
          <w:szCs w:val="20"/>
          <w:lang w:val="el-GR"/>
        </w:rPr>
        <w:t>Η αξία του χαρτοφυλακίου κρατικών ομολόγων της ΕΚΤ (Γράφημα 8) που έχει προέλθει από την εφαρμογή του προγράμματος ποσοτικής χαλάρωσης (QE), για την εβδομάδα μέχρι τις 28 Ιανουαρίου, διαμορφώθηκε στα Ευρώ 2,508 τρισ. Η ΕΚΤ προέβη σε πωλήσεις καλυμμένων ομολόγων, αξίας Ευρώ 2,203 δισ., σε πωλήσεις Asset-Βacked Securities, αξίας Ευρώ 1,533 δισ. και σε αγορές εταιρικών και ασφαλιστικών ομολογιακών τίτλων, αξίας Ευρώ 1,741 δισ. Επιπρόσθετα, η ΕΚΤ, την περασμένη εβδομάδα, πραγματοποίησε καθαρές αγορές, αξίας Ευρώ 14,7 δισ., στο πλαίσιο του Έκτακτου Προγράμματος Αγοράς Στοιχείων Ενεργητικού, λόγω της πανδημίας (Pandemic Emergency Purchase Programme-PEPP), με τη συνολική αξία του εν λόγω χαρτοφυλακίου να διαμορφώνεται περίπου στα Ευρώ 1,629 τρισ.</w:t>
      </w:r>
    </w:p>
    <w:p>
      <w:pPr>
        <w:pStyle w:val="Style19"/>
        <w:tabs>
          <w:tab w:val="clear" w:pos="720"/>
          <w:tab w:val="left" w:pos="1780" w:leader="none"/>
        </w:tabs>
        <w:overflowPunct w:val="true"/>
        <w:ind w:left="1758" w:right="227" w:hanging="0"/>
        <w:jc w:val="both"/>
        <w:rPr>
          <w:sz w:val="20"/>
          <w:szCs w:val="20"/>
          <w:lang w:val="el-GR"/>
        </w:rPr>
      </w:pPr>
      <w:r>
        <w:rPr>
          <w:sz w:val="20"/>
          <w:szCs w:val="20"/>
          <w:lang w:val="el-GR"/>
        </w:rPr>
        <w:t xml:space="preserve">Στην ελληνική αγορά ομολόγων, το εύρος της απόδοσης του δεκαετούς κρατικού ομολόγου, λήξης 18 Ιουνίου 2032, με κουπόνι 1,75%, διαμορφωνόταν, στις 4 Φεβρουαρίου, μεταξύ 2,05% και 2,19%. Επιπλέον, το δεκαετές ομόλογο της Πορτογαλίας κατέγραφε απόδοση 0,94%, της Ιταλίας 1,72% και της Ισπανίας 1% (Γράφημα 9). Η διαφορά απόδοσης μεταξύ του δεκαετούς ομολόγου της Ελλάδας και του δεκαετούς ομολόγου της Γερμανίας (spread) διαμορφωνόταν στις 201 μονάδες βάσης (μ.β.), του δεκαετούς πορτογαλικού ομολόγου στις 77 μ.β., ενώ του δεκαετούς ιταλικού ομολόγου στις 155 μ.β. Παράλληλα, η απόδοση του δεκαετούς ομολόγου της Γερμανίας, ως σημείο αναφοράς του κόστους δανεισμού της Ζώνης του Ευρώ (ΖτΕ), διαμορφωνόταν στο 0,17%, στις 4 Φεβρουαρίου, ενώ η απόδοση του δεκαετούς ομολόγου </w:t>
      </w:r>
    </w:p>
    <w:p>
      <w:pPr>
        <w:pStyle w:val="Style19"/>
        <w:tabs>
          <w:tab w:val="clear" w:pos="720"/>
          <w:tab w:val="left" w:pos="1780" w:leader="none"/>
        </w:tabs>
        <w:overflowPunct w:val="true"/>
        <w:ind w:left="1758" w:right="227" w:hanging="0"/>
        <w:jc w:val="both"/>
        <w:rPr>
          <w:sz w:val="20"/>
          <w:szCs w:val="20"/>
          <w:lang w:val="el-GR"/>
        </w:rPr>
      </w:pPr>
      <w:r>
        <w:rPr>
          <w:sz w:val="20"/>
          <w:szCs w:val="20"/>
          <w:lang w:val="el-GR"/>
        </w:rPr>
        <w:t>των ΗΠΑ στο 1,82%.</w:t>
      </w:r>
    </w:p>
    <w:p>
      <w:pPr>
        <w:pStyle w:val="Style19"/>
        <w:tabs>
          <w:tab w:val="clear" w:pos="720"/>
          <w:tab w:val="left" w:pos="1780" w:leader="none"/>
        </w:tabs>
        <w:overflowPunct w:val="true"/>
        <w:ind w:left="1758" w:right="227" w:hanging="0"/>
        <w:jc w:val="both"/>
        <w:rPr>
          <w:sz w:val="20"/>
          <w:szCs w:val="20"/>
          <w:lang w:val="el-GR"/>
        </w:rPr>
      </w:pPr>
      <w:r>
        <w:rPr>
          <w:sz w:val="20"/>
          <w:szCs w:val="20"/>
          <w:lang w:val="el-GR"/>
        </w:rPr>
      </w:r>
    </w:p>
    <w:p>
      <w:pPr>
        <w:pStyle w:val="Style19"/>
        <w:tabs>
          <w:tab w:val="clear" w:pos="720"/>
          <w:tab w:val="left" w:pos="1780" w:leader="none"/>
        </w:tabs>
        <w:overflowPunct w:val="true"/>
        <w:ind w:right="227" w:hanging="0"/>
        <w:jc w:val="both"/>
        <w:rPr>
          <w:sz w:val="20"/>
          <w:szCs w:val="20"/>
          <w:lang w:val="el-GR"/>
        </w:rPr>
      </w:pPr>
      <w:r>
        <w:rPr>
          <w:sz w:val="20"/>
          <w:szCs w:val="20"/>
          <w:lang w:val="el-GR"/>
        </w:rPr>
        <mc:AlternateContent>
          <mc:Choice Requires="wpg">
            <w:drawing>
              <wp:anchor behindDoc="1" distT="0" distB="0" distL="0" distR="0" simplePos="0" locked="0" layoutInCell="0" allowOverlap="1" relativeHeight="52" wp14:anchorId="321A081C">
                <wp:simplePos x="0" y="0"/>
                <wp:positionH relativeFrom="margin">
                  <wp:posOffset>0</wp:posOffset>
                </wp:positionH>
                <wp:positionV relativeFrom="paragraph">
                  <wp:posOffset>154940</wp:posOffset>
                </wp:positionV>
                <wp:extent cx="7181215" cy="3227705"/>
                <wp:effectExtent l="0" t="0" r="1270" b="0"/>
                <wp:wrapNone/>
                <wp:docPr id="12" name="Group 1174"/>
                <a:graphic xmlns:a="http://schemas.openxmlformats.org/drawingml/2006/main">
                  <a:graphicData uri="http://schemas.microsoft.com/office/word/2010/wordprocessingGroup">
                    <wpg:wgp>
                      <wpg:cNvGrpSpPr/>
                      <wpg:grpSpPr>
                        <a:xfrm>
                          <a:off x="0" y="0"/>
                          <a:ext cx="7180560" cy="3227040"/>
                          <a:chOff x="0" y="154800"/>
                          <a:chExt cx="7180560" cy="3227040"/>
                        </a:xfrm>
                      </wpg:grpSpPr>
                      <wps:wsp>
                        <wps:cNvSpPr/>
                        <wps:spPr>
                          <a:xfrm>
                            <a:off x="0" y="0"/>
                            <a:ext cx="1010880" cy="322704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E24C37"/>
                                </w:rPr>
                                <w:t xml:space="preserve"> ΓΡΑΦΗΜΑ 8</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Πηγή:</w:t>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Ευρωπαϊκή Κεντρική Τράπεζα, Alpha Bank</w:t>
                              </w:r>
                            </w:p>
                            <w:p>
                              <w:pPr>
                                <w:overflowPunct w:val="false"/>
                                <w:spacing w:before="0" w:after="0" w:lineRule="auto" w:line="240"/>
                                <w:jc w:val="center"/>
                                <w:rPr/>
                              </w:pPr>
                              <w:r>
                                <w:rPr>
                                  <w:sz w:val="22"/>
                                </w:rPr>
                              </w:r>
                            </w:p>
                          </w:txbxContent>
                        </wps:txbx>
                        <wps:bodyPr anchor="t" upright="1">
                          <a:noAutofit/>
                        </wps:bodyPr>
                      </wps:wsp>
                      <wps:wsp>
                        <wps:cNvSpPr/>
                        <wps:spPr>
                          <a:xfrm>
                            <a:off x="1129680" y="0"/>
                            <a:ext cx="6050880" cy="322704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Εξέλιξη αγοραπωλησιών κρατικών ομολόγων ανά μήνα από την ΕΚΤ</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 xml:space="preserve">  </w:t>
                              </w:r>
                            </w:p>
                          </w:txbxContent>
                        </wps:txbx>
                        <wps:bodyPr anchor="t" upright="1">
                          <a:noAutofit/>
                        </wps:bodyPr>
                      </wps:wsp>
                    </wpg:wgp>
                  </a:graphicData>
                </a:graphic>
              </wp:anchor>
            </w:drawing>
          </mc:Choice>
          <mc:Fallback>
            <w:pict>
              <v:group id="shape_0" alt="Group 1174" style="position:absolute;margin-left:0pt;margin-top:12.2pt;width:565.4pt;height:254.1pt" coordorigin="0,244" coordsize="11308,5082">
                <v:rect id="shape_0" ID="Rectangle 24" path="m0,0l-2147483645,0l-2147483645,-2147483646l0,-2147483646xe" fillcolor="#e5e4de" stroked="f" o:allowincell="f" style="position:absolute;left:0;top:244;width:1591;height:5081;mso-wrap-style:square;v-text-anchor:top;mso-position-horizontal-relative:margin">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E24C37"/>
                          </w:rPr>
                          <w:t xml:space="preserve"> ΓΡΑΦΗΜΑ 8</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Πηγή:</w:t>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Ευρωπαϊκή Κεντρική Τράπεζα, Alpha Bank</w:t>
                        </w:r>
                      </w:p>
                      <w:p>
                        <w:pPr>
                          <w:overflowPunct w:val="false"/>
                          <w:spacing w:before="0" w:after="0" w:lineRule="auto" w:line="240"/>
                          <w:jc w:val="center"/>
                          <w:rPr/>
                        </w:pPr>
                        <w:r>
                          <w:rPr>
                            <w:sz w:val="22"/>
                          </w:rPr>
                        </w:r>
                      </w:p>
                    </w:txbxContent>
                  </v:textbox>
                  <v:fill o:detectmouseclick="t" type="solid" color2="#1a1b21"/>
                  <v:stroke color="#3465a4" joinstyle="round" endcap="flat"/>
                  <w10:wrap type="none"/>
                </v:rect>
              </v:group>
            </w:pict>
          </mc:Fallback>
        </mc:AlternateContent>
      </w:r>
    </w:p>
    <w:p>
      <w:pPr>
        <w:pStyle w:val="Style19"/>
        <w:tabs>
          <w:tab w:val="clear" w:pos="720"/>
          <w:tab w:val="left" w:pos="1780" w:leader="none"/>
        </w:tabs>
        <w:overflowPunct w:val="true"/>
        <w:ind w:left="1758" w:right="227" w:hanging="0"/>
        <w:jc w:val="both"/>
        <w:rPr>
          <w:sz w:val="20"/>
          <w:szCs w:val="20"/>
          <w:lang w:val="el-GR"/>
        </w:rPr>
      </w:pPr>
      <w:r>
        <w:rPr>
          <w:sz w:val="20"/>
          <w:szCs w:val="20"/>
          <w:lang w:val="el-GR"/>
        </w:rPr>
        <w:t xml:space="preserve">   </w:t>
      </w:r>
    </w:p>
    <w:p>
      <w:pPr>
        <w:pStyle w:val="Style19"/>
        <w:tabs>
          <w:tab w:val="clear" w:pos="720"/>
          <w:tab w:val="left" w:pos="1335" w:leader="none"/>
        </w:tabs>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r>
    </w:p>
    <w:p>
      <w:pPr>
        <w:pStyle w:val="Style19"/>
        <w:overflowPunct w:val="true"/>
        <w:ind w:left="1758" w:right="227" w:hanging="0"/>
        <w:jc w:val="both"/>
        <w:rPr>
          <w:sz w:val="20"/>
          <w:szCs w:val="20"/>
          <w:lang w:val="el-GR"/>
        </w:rPr>
      </w:pPr>
      <w:r>
        <w:rPr>
          <w:sz w:val="20"/>
          <w:szCs w:val="20"/>
          <w:lang w:val="el-GR"/>
        </w:rPr>
        <w:t>Σημαντική άνοδο καταγράφουν, από τις 3 Φεβρουαρίου, οι αποδόσεις των δεκαετών ομολόγων των κρατών-μελών της ΖτΕ, στον απόηχο της συνεδρίασης της Ευρωπαϊκής Κεντρικής Τράπεζας (ΕΚΤ). Η προοπτική επίσπευσης της αύξησης των επιτοκίων από την ΕΚΤ, προκειμένου να μετριασθούν οι πληθωριστικές πιέσεις, ωθεί υψηλότερα τις ομολογιακές αποδόσεις. Αναφέρεται χαρακτηριστικά ότι όλες οι αποδόσεις των δεκαετών ομολόγων των κρατών-μελών της ΖτΕ βρίσκονται πλέον σε θετικό έδαφος, ενώ θετικό πρόσημο καταγράφει για πρώτη φορά από το 2018 η απόδοση του γερμανικού πενταετούς ομολόγου.</w:t>
      </w:r>
    </w:p>
    <w:p>
      <w:pPr>
        <w:pStyle w:val="Style19"/>
        <w:overflowPunct w:val="true"/>
        <w:ind w:left="1758" w:right="227" w:hanging="0"/>
        <w:jc w:val="both"/>
        <w:rPr>
          <w:sz w:val="20"/>
          <w:szCs w:val="20"/>
          <w:lang w:val="el-GR"/>
        </w:rPr>
      </w:pPr>
      <w:r>
        <w:rPr>
          <w:sz w:val="20"/>
          <w:szCs w:val="20"/>
          <w:lang w:val="el-GR"/>
        </w:rPr>
      </w:r>
    </w:p>
    <w:p>
      <w:pPr>
        <w:pStyle w:val="Style19"/>
        <w:tabs>
          <w:tab w:val="clear" w:pos="720"/>
          <w:tab w:val="left" w:pos="2160" w:leader="none"/>
        </w:tabs>
        <w:overflowPunct w:val="true"/>
        <w:ind w:left="1758" w:right="227" w:hanging="0"/>
        <w:jc w:val="both"/>
        <w:rPr>
          <w:sz w:val="20"/>
          <w:szCs w:val="20"/>
          <w:lang w:val="el-GR"/>
        </w:rPr>
      </w:pPr>
      <w:r>
        <w:rPr>
          <w:sz w:val="20"/>
          <w:szCs w:val="20"/>
          <w:lang w:val="el-GR"/>
        </w:rPr>
        <mc:AlternateContent>
          <mc:Choice Requires="wpg">
            <w:drawing>
              <wp:anchor behindDoc="1" distT="0" distB="0" distL="0" distR="0" simplePos="0" locked="0" layoutInCell="0" allowOverlap="1" relativeHeight="64" wp14:anchorId="7E05CCC4">
                <wp:simplePos x="0" y="0"/>
                <wp:positionH relativeFrom="margin">
                  <wp:posOffset>0</wp:posOffset>
                </wp:positionH>
                <wp:positionV relativeFrom="paragraph">
                  <wp:posOffset>103505</wp:posOffset>
                </wp:positionV>
                <wp:extent cx="7181215" cy="3227705"/>
                <wp:effectExtent l="0" t="0" r="1270" b="0"/>
                <wp:wrapNone/>
                <wp:docPr id="13" name="Group 216"/>
                <a:graphic xmlns:a="http://schemas.openxmlformats.org/drawingml/2006/main">
                  <a:graphicData uri="http://schemas.microsoft.com/office/word/2010/wordprocessingGroup">
                    <wpg:wgp>
                      <wpg:cNvGrpSpPr/>
                      <wpg:grpSpPr>
                        <a:xfrm>
                          <a:off x="0" y="0"/>
                          <a:ext cx="7180560" cy="3227040"/>
                          <a:chOff x="0" y="103680"/>
                          <a:chExt cx="7180560" cy="3227040"/>
                        </a:xfrm>
                      </wpg:grpSpPr>
                      <wps:wsp>
                        <wps:cNvSpPr/>
                        <wps:spPr>
                          <a:xfrm>
                            <a:off x="0" y="0"/>
                            <a:ext cx="1010880" cy="3227040"/>
                          </a:xfrm>
                          <a:prstGeom prst="rect">
                            <a:avLst/>
                          </a:prstGeom>
                          <a:solidFill>
                            <a:srgbClr val="e5e4de"/>
                          </a:solidFill>
                          <a:ln w="0">
                            <a:noFill/>
                          </a:ln>
                        </wps:spPr>
                        <wps:style>
                          <a:lnRef idx="0"/>
                          <a:fillRef idx="0"/>
                          <a:effectRef idx="0"/>
                          <a:fontRef idx="minor"/>
                        </wps:style>
                        <wps:txb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E24C37"/>
                                </w:rPr>
                                <w:t xml:space="preserve"> ΓΡΑΦΗΜΑ 9</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Πηγή:</w:t>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Bloomberg,</w:t>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Alpha Bank</w:t>
                              </w:r>
                            </w:p>
                          </w:txbxContent>
                        </wps:txbx>
                        <wps:bodyPr anchor="t" upright="1">
                          <a:noAutofit/>
                        </wps:bodyPr>
                      </wps:wsp>
                      <wps:wsp>
                        <wps:cNvSpPr/>
                        <wps:spPr>
                          <a:xfrm>
                            <a:off x="1129680" y="0"/>
                            <a:ext cx="6050880" cy="3227040"/>
                          </a:xfrm>
                          <a:custGeom>
                            <a:avLst/>
                            <a:gdLst/>
                            <a:ahLst/>
                            <a:rect l="l" t="t" r="r" b="b"/>
                            <a:pathLst>
                              <a:path w="9586" h="4124">
                                <a:moveTo>
                                  <a:pt x="9585" y="0"/>
                                </a:moveTo>
                                <a:lnTo>
                                  <a:pt x="0" y="0"/>
                                </a:lnTo>
                                <a:lnTo>
                                  <a:pt x="0" y="4123"/>
                                </a:lnTo>
                                <a:lnTo>
                                  <a:pt x="9585" y="4123"/>
                                </a:lnTo>
                                <a:lnTo>
                                  <a:pt x="9585" y="0"/>
                                </a:lnTo>
                                <a:close/>
                              </a:path>
                            </a:pathLst>
                          </a:custGeom>
                          <a:solidFill>
                            <a:srgbClr val="e5e4de"/>
                          </a:solidFill>
                          <a:ln w="0">
                            <a:noFill/>
                          </a:ln>
                        </wps:spPr>
                        <wps:style>
                          <a:lnRef idx="0"/>
                          <a:fillRef idx="0"/>
                          <a:effectRef idx="0"/>
                          <a:fontRef idx="minor"/>
                        </wps:style>
                        <wps:txbx>
                          <w:txbxContent>
                            <w:p>
                              <w:pPr>
                                <w:overflowPunct w:val="false"/>
                                <w:spacing w:before="0" w:after="0" w:lineRule="auto" w:line="240"/>
                                <w:jc w:val="left"/>
                                <w:rPr/>
                              </w:pPr>
                              <w:r>
                                <w:rPr>
                                  <w:sz w:val="22"/>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rPr>
                                <w:t xml:space="preserve">Αποδόσεις 10ετών ομολόγων (%) και </w:t>
                              </w: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lang w:val="en-US"/>
                                </w:rPr>
                                <w:t xml:space="preserve">spreads έναντι 10ετούς γερμανικού ομολόγου </w:t>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2"/>
                                </w:rPr>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E3B70"/>
                                  <w:lang w:val="en-US"/>
                                </w:rPr>
                                <w:t xml:space="preserve">  </w:t>
                              </w:r>
                            </w:p>
                          </w:txbxContent>
                        </wps:txbx>
                        <wps:bodyPr anchor="t" upright="1">
                          <a:noAutofit/>
                        </wps:bodyPr>
                      </wps:wsp>
                    </wpg:wgp>
                  </a:graphicData>
                </a:graphic>
              </wp:anchor>
            </w:drawing>
          </mc:Choice>
          <mc:Fallback>
            <w:pict>
              <v:group id="shape_0" alt="Group 216" style="position:absolute;margin-left:0pt;margin-top:8.15pt;width:565.4pt;height:254.1pt" coordorigin="0,163" coordsize="11308,5082">
                <v:rect id="shape_0" ID="Rectangle 24" path="m0,0l-2147483645,0l-2147483645,-2147483646l0,-2147483646xe" fillcolor="#e5e4de" stroked="f" o:allowincell="f" style="position:absolute;left:0;top:163;width:1591;height:5081;mso-wrap-style:square;v-text-anchor:top;mso-position-horizontal-relative:margin">
                  <v:textbox>
                    <w:txbxContent>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E24C37"/>
                          </w:rPr>
                          <w:t xml:space="preserve"> ΓΡΑΦΗΜΑ 9</w:t>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22"/>
                          </w:rPr>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Πηγή:</w:t>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Bloomberg,</w:t>
                        </w:r>
                      </w:p>
                      <w:p>
                        <w:pPr>
                          <w:overflowPunct w:val="false"/>
                          <w:spacing w:before="0" w:after="0" w:lineRule="auto" w:line="240"/>
                          <w:jc w:val="center"/>
                          <w:rPr/>
                        </w:pPr>
                        <w:r>
                          <w:rPr>
                            <w:sz w:val="18"/>
                            <w:b w:val="false"/>
                            <w:u w:val="none"/>
                            <w:dstrike w:val="false"/>
                            <w:strike w:val="false"/>
                            <w:i w:val="false"/>
                            <w:vertAlign w:val="baseline"/>
                            <w:position w:val="0"/>
                            <w:spacing w:val="-1"/>
                            <w:szCs w:val="18"/>
                            <w:bCs w:val="false"/>
                            <w:iCs w:val="false"/>
                            <w:smallCaps w:val="false"/>
                            <w:caps w:val="false"/>
                            <w:rFonts w:ascii="Arial" w:hAnsi="Arial" w:cs="Arial"/>
                            <w:color w:val="000000"/>
                          </w:rPr>
                          <w:t>Alpha Bank</w:t>
                        </w:r>
                      </w:p>
                    </w:txbxContent>
                  </v:textbox>
                  <v:fill o:detectmouseclick="t" type="solid" color2="#1a1b21"/>
                  <v:stroke color="#3465a4" joinstyle="round" endcap="flat"/>
                  <w10:wrap type="none"/>
                </v:rect>
              </v:group>
            </w:pict>
          </mc:Fallback>
        </mc:AlternateContent>
      </w:r>
    </w:p>
    <w:p>
      <w:pPr>
        <w:pStyle w:val="Style19"/>
        <w:tabs>
          <w:tab w:val="clear" w:pos="720"/>
          <w:tab w:val="left" w:pos="2160" w:leader="none"/>
        </w:tabs>
        <w:overflowPunct w:val="true"/>
        <w:ind w:left="1758" w:right="227" w:hanging="0"/>
        <w:jc w:val="both"/>
        <w:rPr>
          <w:sz w:val="20"/>
          <w:szCs w:val="20"/>
          <w:lang w:val="el-GR"/>
        </w:rPr>
      </w:pPr>
      <w:r>
        <w:rPr>
          <w:sz w:val="20"/>
          <w:szCs w:val="20"/>
          <w:lang w:val="el-GR"/>
        </w:rPr>
      </w:r>
    </w:p>
    <w:p>
      <w:pPr>
        <w:pStyle w:val="Normal"/>
        <w:ind w:left="1780" w:right="170" w:hanging="0"/>
        <w:rPr>
          <w:rFonts w:ascii="Arial" w:hAnsi="Arial" w:eastAsia="Arial" w:cs="Arial"/>
          <w:color w:val="231F20"/>
          <w:sz w:val="20"/>
          <w:szCs w:val="19"/>
        </w:rPr>
      </w:pPr>
      <w:r>
        <w:rPr>
          <w:rFonts w:eastAsia="Arial" w:cs="Arial" w:ascii="Arial" w:hAnsi="Arial"/>
          <w:color w:val="231F20"/>
          <w:sz w:val="20"/>
          <w:szCs w:val="19"/>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Normal"/>
        <w:rPr>
          <w:rFonts w:ascii="Arial" w:hAnsi="Arial" w:eastAsia="Arial" w:cs="Arial"/>
          <w:color w:val="231F20"/>
          <w:sz w:val="20"/>
          <w:szCs w:val="20"/>
        </w:rPr>
      </w:pPr>
      <w:r>
        <w:rPr>
          <w:rFonts w:eastAsia="Arial" w:cs="Arial" w:ascii="Arial" w:hAnsi="Arial"/>
          <w:color w:val="231F20"/>
          <w:sz w:val="20"/>
          <w:szCs w:val="20"/>
        </w:rPr>
      </w:r>
    </w:p>
    <w:p>
      <w:pPr>
        <w:pStyle w:val="1"/>
        <w:pBdr>
          <w:top w:val="single" w:sz="8" w:space="1" w:color="00B0F0"/>
          <w:bottom w:val="single" w:sz="8" w:space="1" w:color="00B0F0"/>
        </w:pBdr>
        <w:overflowPunct w:val="true"/>
        <w:ind w:left="1780" w:right="227" w:hanging="0"/>
        <w:rPr>
          <w:color w:val="63A1AA"/>
        </w:rPr>
      </w:pPr>
      <w:r>
        <w:rPr>
          <w:color w:val="63A1AA"/>
        </w:rPr>
        <w:t>Η Ελληνική Οικονομία σε Αριθμούς</w:t>
      </w:r>
    </w:p>
    <w:p>
      <w:pPr>
        <w:pStyle w:val="Normal"/>
        <w:spacing w:before="0" w:after="0"/>
        <w:ind w:left="1780" w:right="170" w:hanging="0"/>
        <w:rPr>
          <w:rFonts w:ascii="Arial" w:hAnsi="Arial" w:eastAsia="Arial" w:cs="Arial"/>
          <w:color w:val="231F20"/>
          <w:sz w:val="20"/>
          <w:szCs w:val="19"/>
        </w:rPr>
      </w:pPr>
      <w:r>
        <w:rPr>
          <w:rFonts w:eastAsia="Arial" w:cs="Arial" w:ascii="Arial" w:hAnsi="Arial"/>
          <w:color w:val="231F20"/>
          <w:sz w:val="20"/>
          <w:szCs w:val="19"/>
        </w:rPr>
      </w:r>
    </w:p>
    <w:p>
      <w:pPr>
        <w:pStyle w:val="Normal"/>
        <w:spacing w:before="0" w:after="0"/>
        <w:ind w:left="1780" w:right="170" w:hanging="0"/>
        <w:rPr>
          <w:rFonts w:ascii="Arial" w:hAnsi="Arial" w:eastAsia="Arial" w:cs="Arial"/>
          <w:color w:val="231F20"/>
          <w:sz w:val="20"/>
          <w:szCs w:val="19"/>
        </w:rPr>
      </w:pPr>
      <w:r>
        <w:rPr/>
        <w:drawing>
          <wp:inline distT="0" distB="0" distL="0" distR="0">
            <wp:extent cx="6090285" cy="8867775"/>
            <wp:effectExtent l="0" t="0" r="0" b="0"/>
            <wp:docPr id="14"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7" descr=""/>
                    <pic:cNvPicPr>
                      <a:picLocks noChangeAspect="1" noChangeArrowheads="1"/>
                    </pic:cNvPicPr>
                  </pic:nvPicPr>
                  <pic:blipFill>
                    <a:blip r:embed="rId6"/>
                    <a:stretch>
                      <a:fillRect/>
                    </a:stretch>
                  </pic:blipFill>
                  <pic:spPr bwMode="auto">
                    <a:xfrm>
                      <a:off x="0" y="0"/>
                      <a:ext cx="6090285" cy="8867775"/>
                    </a:xfrm>
                    <a:prstGeom prst="rect">
                      <a:avLst/>
                    </a:prstGeom>
                  </pic:spPr>
                </pic:pic>
              </a:graphicData>
            </a:graphic>
          </wp:inline>
        </w:drawing>
      </w:r>
    </w:p>
    <w:p>
      <w:pPr>
        <w:pStyle w:val="Normal"/>
        <w:ind w:left="1780" w:right="170" w:hanging="0"/>
        <w:rPr>
          <w:rFonts w:ascii="Arial" w:hAnsi="Arial" w:eastAsia="Arial" w:cs="Arial"/>
          <w:color w:val="231F20"/>
          <w:sz w:val="20"/>
          <w:szCs w:val="19"/>
        </w:rPr>
      </w:pPr>
      <w:r>
        <w:rPr>
          <w:rFonts w:eastAsia="Arial" w:cs="Arial" w:ascii="Arial" w:hAnsi="Arial"/>
          <w:color w:val="231F20"/>
          <w:sz w:val="20"/>
          <w:szCs w:val="19"/>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0"/>
        <w:rPr>
          <w:rFonts w:ascii="Arial" w:hAnsi="Arial" w:cs="Arial"/>
          <w:sz w:val="18"/>
        </w:rPr>
      </w:pPr>
      <w:r>
        <w:rPr>
          <w:rFonts w:cs="Arial" w:ascii="Arial" w:hAnsi="Arial"/>
          <w:sz w:val="18"/>
        </w:rPr>
      </w:r>
    </w:p>
    <w:p>
      <w:pPr>
        <w:pStyle w:val="Style26"/>
        <w:spacing w:lineRule="auto" w:line="240" w:before="0" w:after="0"/>
        <w:ind w:left="2160" w:hanging="317"/>
        <w:rPr>
          <w:rFonts w:ascii="Arial" w:hAnsi="Arial" w:cs="Arial"/>
          <w:sz w:val="18"/>
        </w:rPr>
      </w:pPr>
      <w:r>
        <w:rPr/>
        <w:drawing>
          <wp:inline distT="0" distB="0" distL="0" distR="0">
            <wp:extent cx="5762625" cy="1533525"/>
            <wp:effectExtent l="0" t="0" r="0" b="0"/>
            <wp:docPr id="15" name="Picture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36" descr=""/>
                    <pic:cNvPicPr>
                      <a:picLocks noChangeAspect="1" noChangeArrowheads="1"/>
                    </pic:cNvPicPr>
                  </pic:nvPicPr>
                  <pic:blipFill>
                    <a:blip r:embed="rId7"/>
                    <a:stretch>
                      <a:fillRect/>
                    </a:stretch>
                  </pic:blipFill>
                  <pic:spPr bwMode="auto">
                    <a:xfrm>
                      <a:off x="0" y="0"/>
                      <a:ext cx="5762625" cy="1533525"/>
                    </a:xfrm>
                    <a:prstGeom prst="rect">
                      <a:avLst/>
                    </a:prstGeom>
                  </pic:spPr>
                </pic:pic>
              </a:graphicData>
            </a:graphic>
          </wp:inline>
        </w:drawing>
      </w:r>
    </w:p>
    <w:sectPr>
      <w:headerReference w:type="even" r:id="rId8"/>
      <w:headerReference w:type="default" r:id="rId9"/>
      <w:headerReference w:type="first" r:id="rId10"/>
      <w:footerReference w:type="even" r:id="rId11"/>
      <w:footerReference w:type="default" r:id="rId12"/>
      <w:footerReference w:type="first" r:id="rId13"/>
      <w:type w:val="nextPage"/>
      <w:pgSz w:w="11906" w:h="16838"/>
      <w:pgMar w:left="0" w:right="420" w:gutter="0" w:header="0" w:top="1207" w:footer="709" w:bottom="766"/>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auto"/>
    <w:pitch w:val="default"/>
  </w:font>
  <w:font w:name="Arial Narrow">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0" allowOverlap="1" relativeHeight="21" wp14:anchorId="745CDC1F">
              <wp:simplePos x="0" y="0"/>
              <wp:positionH relativeFrom="page">
                <wp:posOffset>1133475</wp:posOffset>
              </wp:positionH>
              <wp:positionV relativeFrom="page">
                <wp:posOffset>10315575</wp:posOffset>
              </wp:positionV>
              <wp:extent cx="6091555" cy="403860"/>
              <wp:effectExtent l="0" t="0" r="5080" b="0"/>
              <wp:wrapNone/>
              <wp:docPr id="23" name="Freeform 368"/>
              <a:graphic xmlns:a="http://schemas.openxmlformats.org/drawingml/2006/main">
                <a:graphicData uri="http://schemas.microsoft.com/office/word/2010/wordprocessingShape">
                  <wps:wsp>
                    <wps:cNvSpPr/>
                    <wps:spPr>
                      <a:xfrm>
                        <a:off x="0" y="0"/>
                        <a:ext cx="6090840" cy="403200"/>
                      </a:xfrm>
                      <a:custGeom>
                        <a:avLst/>
                        <a:gdLst/>
                        <a:ahLst/>
                        <a:rect l="l" t="t" r="r" b="b"/>
                        <a:pathLst>
                          <a:path w="9586" h="525">
                            <a:moveTo>
                              <a:pt x="0" y="524"/>
                            </a:moveTo>
                            <a:lnTo>
                              <a:pt x="9585" y="524"/>
                            </a:lnTo>
                            <a:lnTo>
                              <a:pt x="9585" y="0"/>
                            </a:lnTo>
                            <a:lnTo>
                              <a:pt x="0" y="0"/>
                            </a:lnTo>
                            <a:lnTo>
                              <a:pt x="0" y="524"/>
                            </a:lnTo>
                            <a:close/>
                          </a:path>
                        </a:pathLst>
                      </a:custGeom>
                      <a:solidFill>
                        <a:srgbClr val="002060"/>
                      </a:solidFill>
                      <a:ln w="0">
                        <a:noFill/>
                      </a:ln>
                    </wps:spPr>
                    <wps:style>
                      <a:lnRef idx="0"/>
                      <a:fillRef idx="0"/>
                      <a:effectRef idx="0"/>
                      <a:fontRef idx="minor"/>
                    </wps:style>
                    <wps:txbx>
                      <w:txbxContent>
                        <w:p>
                          <w:pPr>
                            <w:pStyle w:val="Style28"/>
                            <w:spacing w:before="0" w:after="160"/>
                            <w:rPr>
                              <w:lang w:val="en-US"/>
                            </w:rPr>
                          </w:pPr>
                          <w:r>
                            <w:rPr/>
                            <w:t>ΔΕΛΤΙΟ ΟΙΚΟΝΟΜΙΚΩΝ ΕΞΕΛΙΞΕΩΝ</w:t>
                          </w:r>
                        </w:p>
                      </w:txbxContent>
                    </wps:txbx>
                    <wps:bodyPr anchor="t" upright="1">
                      <a:noAutofit/>
                    </wps:bodyPr>
                  </wps:wsp>
                </a:graphicData>
              </a:graphic>
            </wp:anchor>
          </w:drawing>
        </mc:Choice>
        <mc:Fallback>
          <w:pict/>
        </mc:Fallback>
      </mc:AlternateContent>
      <mc:AlternateContent>
        <mc:Choice Requires="wps">
          <w:drawing>
            <wp:anchor behindDoc="1" distT="0" distB="0" distL="0" distR="0" simplePos="0" locked="0" layoutInCell="0" allowOverlap="1" relativeHeight="41" wp14:anchorId="1B7A7516">
              <wp:simplePos x="0" y="0"/>
              <wp:positionH relativeFrom="page">
                <wp:posOffset>0</wp:posOffset>
              </wp:positionH>
              <wp:positionV relativeFrom="page">
                <wp:posOffset>10313035</wp:posOffset>
              </wp:positionV>
              <wp:extent cx="1009015" cy="403860"/>
              <wp:effectExtent l="0" t="0" r="1270" b="0"/>
              <wp:wrapNone/>
              <wp:docPr id="25" name="Freeform 369"/>
              <a:graphic xmlns:a="http://schemas.openxmlformats.org/drawingml/2006/main">
                <a:graphicData uri="http://schemas.microsoft.com/office/word/2010/wordprocessingShape">
                  <wps:wsp>
                    <wps:cNvSpPr/>
                    <wps:spPr>
                      <a:xfrm>
                        <a:off x="0" y="0"/>
                        <a:ext cx="1008360" cy="403200"/>
                      </a:xfrm>
                      <a:custGeom>
                        <a:avLst/>
                        <a:gdLst/>
                        <a:ahLst/>
                        <a:rect l="l" t="t" r="r" b="b"/>
                        <a:pathLst>
                          <a:path w="1588" h="525">
                            <a:moveTo>
                              <a:pt x="0" y="524"/>
                            </a:moveTo>
                            <a:lnTo>
                              <a:pt x="1587" y="524"/>
                            </a:lnTo>
                            <a:lnTo>
                              <a:pt x="1587" y="0"/>
                            </a:lnTo>
                            <a:lnTo>
                              <a:pt x="0" y="0"/>
                            </a:lnTo>
                            <a:lnTo>
                              <a:pt x="0" y="524"/>
                            </a:lnTo>
                            <a:close/>
                          </a:path>
                        </a:pathLst>
                      </a:custGeom>
                      <a:solidFill>
                        <a:srgbClr val="002060"/>
                      </a:solidFill>
                      <a:ln w="0">
                        <a:noFill/>
                      </a:ln>
                    </wps:spPr>
                    <wps:style>
                      <a:lnRef idx="0"/>
                      <a:fillRef idx="0"/>
                      <a:effectRef idx="0"/>
                      <a:fontRef idx="minor"/>
                    </wps:style>
                    <wps:txbx>
                      <w:txbxContent>
                        <w:p>
                          <w:pPr>
                            <w:pStyle w:val="Style28"/>
                            <w:spacing w:before="0" w:after="160"/>
                            <w:jc w:val="right"/>
                            <w:rPr/>
                          </w:pPr>
                          <w:r>
                            <w:rPr/>
                            <w:fldChar w:fldCharType="begin"/>
                          </w:r>
                          <w:r>
                            <w:rPr/>
                            <w:instrText> PAGE </w:instrText>
                          </w:r>
                          <w:r>
                            <w:rPr/>
                            <w:fldChar w:fldCharType="separate"/>
                          </w:r>
                          <w:r>
                            <w:rPr/>
                            <w:t>11</w:t>
                          </w:r>
                          <w:r>
                            <w:rPr/>
                            <w:fldChar w:fldCharType="end"/>
                          </w:r>
                        </w:p>
                      </w:txbxContent>
                    </wps:txbx>
                    <wps:bodyPr anchor="t" upright="1">
                      <a:noAutofit/>
                    </wps:bodyPr>
                  </wps:wsp>
                </a:graphicData>
              </a:graphic>
            </wp:anchor>
          </w:drawing>
        </mc:Choice>
        <mc:Fallback>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0" allowOverlap="1" relativeHeight="44" wp14:anchorId="368D4656">
              <wp:simplePos x="0" y="0"/>
              <wp:positionH relativeFrom="page">
                <wp:posOffset>1130300</wp:posOffset>
              </wp:positionH>
              <wp:positionV relativeFrom="page">
                <wp:posOffset>10295890</wp:posOffset>
              </wp:positionV>
              <wp:extent cx="6087745" cy="403860"/>
              <wp:effectExtent l="0" t="0" r="8890" b="0"/>
              <wp:wrapNone/>
              <wp:docPr id="27" name="Freeform 26"/>
              <a:graphic xmlns:a="http://schemas.openxmlformats.org/drawingml/2006/main">
                <a:graphicData uri="http://schemas.microsoft.com/office/word/2010/wordprocessingShape">
                  <wps:wsp>
                    <wps:cNvSpPr/>
                    <wps:spPr>
                      <a:xfrm>
                        <a:off x="0" y="0"/>
                        <a:ext cx="6087240" cy="403200"/>
                      </a:xfrm>
                      <a:custGeom>
                        <a:avLst/>
                        <a:gdLst/>
                        <a:ahLst/>
                        <a:rect l="l" t="t" r="r" b="b"/>
                        <a:pathLst>
                          <a:path w="9586" h="525">
                            <a:moveTo>
                              <a:pt x="0" y="524"/>
                            </a:moveTo>
                            <a:lnTo>
                              <a:pt x="9585" y="524"/>
                            </a:lnTo>
                            <a:lnTo>
                              <a:pt x="9585" y="0"/>
                            </a:lnTo>
                            <a:lnTo>
                              <a:pt x="0" y="0"/>
                            </a:lnTo>
                            <a:lnTo>
                              <a:pt x="0" y="524"/>
                            </a:lnTo>
                            <a:close/>
                          </a:path>
                        </a:pathLst>
                      </a:custGeom>
                      <a:solidFill>
                        <a:srgbClr val="002060"/>
                      </a:solidFill>
                      <a:ln w="0">
                        <a:noFill/>
                      </a:ln>
                    </wps:spPr>
                    <wps:style>
                      <a:lnRef idx="0"/>
                      <a:fillRef idx="0"/>
                      <a:effectRef idx="0"/>
                      <a:fontRef idx="minor"/>
                    </wps:style>
                    <wps:txbx>
                      <w:txbxContent>
                        <w:p>
                          <w:pPr>
                            <w:pStyle w:val="Style28"/>
                            <w:spacing w:before="0" w:after="160"/>
                            <w:rPr>
                              <w:lang w:val="en-US"/>
                            </w:rPr>
                          </w:pPr>
                          <w:r>
                            <w:rPr>
                              <w:lang w:val="en-US"/>
                            </w:rPr>
                          </w:r>
                        </w:p>
                      </w:txbxContent>
                    </wps:txbx>
                    <wps:bodyPr anchor="t" upright="1">
                      <a:noAutofit/>
                    </wps:bodyPr>
                  </wps:wsp>
                </a:graphicData>
              </a:graphic>
            </wp:anchor>
          </w:drawing>
        </mc:Choice>
        <mc:Fallback>
          <w:pict/>
        </mc:Fallback>
      </mc:AlternateContent>
      <mc:AlternateContent>
        <mc:Choice Requires="wps">
          <w:drawing>
            <wp:anchor behindDoc="1" distT="0" distB="0" distL="0" distR="0" simplePos="0" locked="0" layoutInCell="0" allowOverlap="1" relativeHeight="45" wp14:anchorId="202E8085">
              <wp:simplePos x="0" y="0"/>
              <wp:positionH relativeFrom="page">
                <wp:posOffset>0</wp:posOffset>
              </wp:positionH>
              <wp:positionV relativeFrom="page">
                <wp:posOffset>10295890</wp:posOffset>
              </wp:positionV>
              <wp:extent cx="1009015" cy="403860"/>
              <wp:effectExtent l="0" t="0" r="1270" b="0"/>
              <wp:wrapNone/>
              <wp:docPr id="29" name="Freeform 27"/>
              <a:graphic xmlns:a="http://schemas.openxmlformats.org/drawingml/2006/main">
                <a:graphicData uri="http://schemas.microsoft.com/office/word/2010/wordprocessingShape">
                  <wps:wsp>
                    <wps:cNvSpPr/>
                    <wps:spPr>
                      <a:xfrm>
                        <a:off x="0" y="0"/>
                        <a:ext cx="1008360" cy="403200"/>
                      </a:xfrm>
                      <a:custGeom>
                        <a:avLst/>
                        <a:gdLst/>
                        <a:ahLst/>
                        <a:rect l="l" t="t" r="r" b="b"/>
                        <a:pathLst>
                          <a:path w="1588" h="525">
                            <a:moveTo>
                              <a:pt x="0" y="524"/>
                            </a:moveTo>
                            <a:lnTo>
                              <a:pt x="1587" y="524"/>
                            </a:lnTo>
                            <a:lnTo>
                              <a:pt x="1587" y="0"/>
                            </a:lnTo>
                            <a:lnTo>
                              <a:pt x="0" y="0"/>
                            </a:lnTo>
                            <a:lnTo>
                              <a:pt x="0" y="524"/>
                            </a:lnTo>
                            <a:close/>
                          </a:path>
                        </a:pathLst>
                      </a:custGeom>
                      <a:solidFill>
                        <a:srgbClr val="002060"/>
                      </a:solidFill>
                      <a:ln w="0">
                        <a:noFill/>
                      </a:ln>
                    </wps:spPr>
                    <wps:style>
                      <a:lnRef idx="0"/>
                      <a:fillRef idx="0"/>
                      <a:effectRef idx="0"/>
                      <a:fontRef idx="minor"/>
                    </wps:style>
                    <wps:txbx>
                      <w:txbxContent>
                        <w:p>
                          <w:pPr>
                            <w:pStyle w:val="Style28"/>
                            <w:spacing w:before="0" w:after="160"/>
                            <w:jc w:val="right"/>
                            <w:rPr/>
                          </w:pPr>
                          <w:r>
                            <w:rPr/>
                            <w:t>1</w:t>
                          </w:r>
                        </w:p>
                      </w:txbxContent>
                    </wps:txbx>
                    <wps:bodyPr anchor="t" upright="1">
                      <a:noAutofit/>
                    </wps:bodyPr>
                  </wps:wsp>
                </a:graphicData>
              </a:graphic>
            </wp:anchor>
          </w:drawing>
        </mc:Choice>
        <mc:Fallback>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drawing>
        <wp:anchor behindDoc="1" distT="0" distB="0" distL="114300" distR="114300" simplePos="0" locked="0" layoutInCell="0" allowOverlap="1" relativeHeight="63">
          <wp:simplePos x="0" y="0"/>
          <wp:positionH relativeFrom="column">
            <wp:posOffset>691515</wp:posOffset>
          </wp:positionH>
          <wp:positionV relativeFrom="page">
            <wp:posOffset>310515</wp:posOffset>
          </wp:positionV>
          <wp:extent cx="1463040" cy="310515"/>
          <wp:effectExtent l="0" t="0" r="0" b="0"/>
          <wp:wrapTopAndBottom/>
          <wp:docPr id="16" name="Picture 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62" descr=""/>
                  <pic:cNvPicPr>
                    <a:picLocks noChangeAspect="1" noChangeArrowheads="1"/>
                  </pic:cNvPicPr>
                </pic:nvPicPr>
                <pic:blipFill>
                  <a:blip r:embed="rId1"/>
                  <a:stretch>
                    <a:fillRect/>
                  </a:stretch>
                </pic:blipFill>
                <pic:spPr bwMode="auto">
                  <a:xfrm>
                    <a:off x="0" y="0"/>
                    <a:ext cx="1463040" cy="31051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enter" w:pos="4153" w:leader="none"/>
        <w:tab w:val="right" w:pos="8306" w:leader="none"/>
        <w:tab w:val="left" w:pos="11340" w:leader="none"/>
      </w:tabs>
      <w:rPr>
        <w:lang w:val="en-US"/>
      </w:rPr>
    </w:pPr>
    <w:r>
      <w:rPr>
        <w:lang w:val="en-US"/>
      </w:rPr>
      <mc:AlternateContent>
        <mc:Choice Requires="wpg">
          <w:drawing>
            <wp:anchor behindDoc="0" distT="0" distB="0" distL="114300" distR="114300" simplePos="0" locked="0" layoutInCell="0" allowOverlap="1" relativeHeight="46" wp14:anchorId="4C46F37E">
              <wp:simplePos x="0" y="0"/>
              <wp:positionH relativeFrom="column">
                <wp:posOffset>0</wp:posOffset>
              </wp:positionH>
              <wp:positionV relativeFrom="page">
                <wp:posOffset>9525</wp:posOffset>
              </wp:positionV>
              <wp:extent cx="1010920" cy="1973580"/>
              <wp:effectExtent l="0" t="0" r="18415" b="8255"/>
              <wp:wrapTight wrapText="bothSides">
                <wp:wrapPolygon edited="0">
                  <wp:start x="0" y="0"/>
                  <wp:lineTo x="0" y="21482"/>
                  <wp:lineTo x="21586" y="21482"/>
                  <wp:lineTo x="21586" y="0"/>
                  <wp:lineTo x="0" y="0"/>
                </wp:wrapPolygon>
              </wp:wrapTight>
              <wp:docPr id="17" name="Group 1"/>
              <a:graphic xmlns:a="http://schemas.openxmlformats.org/drawingml/2006/main">
                <a:graphicData uri="http://schemas.microsoft.com/office/word/2010/wordprocessingGroup">
                  <wpg:wgp>
                    <wpg:cNvGrpSpPr/>
                    <wpg:grpSpPr>
                      <a:xfrm>
                        <a:off x="0" y="0"/>
                        <a:ext cx="1010160" cy="1972800"/>
                        <a:chOff x="0" y="9360"/>
                        <a:chExt cx="1010160" cy="1972800"/>
                      </a:xfrm>
                    </wpg:grpSpPr>
                    <wps:wsp>
                      <wps:cNvSpPr/>
                      <wps:spPr>
                        <a:xfrm>
                          <a:off x="0" y="0"/>
                          <a:ext cx="1010160" cy="1922040"/>
                        </a:xfrm>
                        <a:prstGeom prst="rect">
                          <a:avLst/>
                        </a:prstGeom>
                        <a:solidFill>
                          <a:srgbClr val="e5e4de"/>
                        </a:solidFill>
                        <a:ln w="0">
                          <a:noFill/>
                        </a:ln>
                      </wps:spPr>
                      <wps:style>
                        <a:lnRef idx="0"/>
                        <a:fillRef idx="0"/>
                        <a:effectRef idx="0"/>
                        <a:fontRef idx="minor"/>
                      </wps:style>
                      <wps:bodyPr/>
                    </wps:wsp>
                    <wps:wsp>
                      <wps:cNvSpPr/>
                      <wps:spPr>
                        <a:xfrm>
                          <a:off x="0" y="1922040"/>
                          <a:ext cx="1010160" cy="50760"/>
                        </a:xfrm>
                        <a:prstGeom prst="rect">
                          <a:avLst/>
                        </a:prstGeom>
                        <a:solidFill>
                          <a:srgbClr val="0e3b70"/>
                        </a:solidFill>
                        <a:ln w="0">
                          <a:noFill/>
                        </a:ln>
                      </wps:spPr>
                      <wps:style>
                        <a:lnRef idx="0"/>
                        <a:fillRef idx="0"/>
                        <a:effectRef idx="0"/>
                        <a:fontRef idx="minor"/>
                      </wps:style>
                      <wps:bodyPr/>
                    </wps:wsp>
                    <wps:wsp>
                      <wps:cNvSpPr/>
                      <wps:spPr>
                        <a:xfrm>
                          <a:off x="0" y="0"/>
                          <a:ext cx="1010160" cy="1947600"/>
                        </a:xfrm>
                        <a:prstGeom prst="rect">
                          <a:avLst/>
                        </a:prstGeom>
                        <a:noFill/>
                        <a:ln w="0">
                          <a:noFill/>
                        </a:ln>
                      </wps:spPr>
                      <wps:style>
                        <a:lnRef idx="0"/>
                        <a:fillRef idx="0"/>
                        <a:effectRef idx="0"/>
                        <a:fontRef idx="minor"/>
                      </wps:style>
                      <wps:txbx>
                        <w:txbxContent>
                          <w:p>
                            <w:pPr>
                              <w:overflowPunct w:val="false"/>
                              <w:spacing w:before="542" w:after="0" w:lineRule="auto" w:line="240"/>
                              <w:jc w:val="left"/>
                              <w:rPr/>
                            </w:pPr>
                            <w:r>
                              <w:rPr>
                                <w:sz w:val="52"/>
                                <w:b w:val="false"/>
                                <w:u w:val="none"/>
                                <w:dstrike w:val="false"/>
                                <w:strike w:val="false"/>
                                <w:i w:val="false"/>
                                <w:vertAlign w:val="baseline"/>
                                <w:position w:val="0"/>
                                <w:spacing w:val="0"/>
                                <w:szCs w:val="52"/>
                                <w:bCs w:val="false"/>
                                <w:iCs w:val="false"/>
                                <w:smallCaps w:val="false"/>
                                <w:caps w:val="false"/>
                                <w:rFonts w:ascii="Arial Narrow" w:hAnsi="Arial Narrow" w:cstheme="minorBidi"/>
                                <w:color w:va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sz w:val="52"/>
                                <w:b w:val="false"/>
                                <w:u w:val="none"/>
                                <w:dstrike w:val="false"/>
                                <w:strike w:val="false"/>
                                <w:i w:val="false"/>
                                <w:vertAlign w:val="baseline"/>
                                <w:position w:val="0"/>
                                <w:spacing w:val="0"/>
                                <w:szCs w:val="52"/>
                                <w:bCs w:val="false"/>
                                <w:iCs w:val="false"/>
                                <w:smallCaps w:val="false"/>
                                <w:caps w:val="false"/>
                                <w:rFonts w:ascii="Arial Narrow" w:hAnsi="Arial Narrow" w:cstheme="minorBidi"/>
                                <w:color w:va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Pr>
                                <w:b w:val="false"/>
                                <w:u w:val="none"/>
                                <w:dstrike w:val="false"/>
                                <w:strike w:val="false"/>
                                <w:i w:val="false"/>
                                <w:vertAlign w:val="baseline"/>
                                <w:position w:val="0"/>
                                <w:sz w:val="91"/>
                                <w:spacing w:val="0"/>
                                <w:bCs w:val="false"/>
                                <w:iCs w:val="false"/>
                                <w:smallCaps w:val="false"/>
                                <w:caps w:val="false"/>
                                <w:sz w:val="91"/>
                                <w:szCs w:val="91"/>
                                <w:rFonts w:ascii="Arial Narrow" w:hAnsi="Arial Narrow" w:cstheme="minorBidi"/>
                                <w:color w:val="auto"/>
                                <w:lang w:val="en-US"/>
                                <w14:shadow w14:blurRad="38100" w14:dist="19050" w14:dir="2700000" w14:sx="100000" w14:sy="100000" w14:kx="0" w14:ky="0" w14:algn="tl">
                                  <w14:schemeClr w14:val="dk1">
                                    <w14:alpha w14:val="60000"/>
                                  </w14:schemeClr>
                                </w14:shadow>
                                <w14:textFill>
                                  <w14:noFill/>
                                </w14:textFill>
                                <w14:textOutline w14:w="0" w14:cap="flat" w14:cmpd="sng" w14:algn="ctr">
                                  <w14:noFill/>
                                  <w14:prstDash w14:val="solid"/>
                                  <w14:round/>
                                </w14:textOutline>
                              </w:rPr>
                              <w:t>212</w:t>
                            </w:r>
                            <w:r>
                              <w:rPr>
                                <w:b w:val="false"/>
                                <w:u w:val="none"/>
                                <w:dstrike w:val="false"/>
                                <w:strike w:val="false"/>
                                <w:i w:val="false"/>
                                <w:vertAlign w:val="baseline"/>
                                <w:position w:val="0"/>
                                <w:sz w:val="36"/>
                                <w:spacing w:val="0"/>
                                <w:bCs w:val="false"/>
                                <w:iCs w:val="false"/>
                                <w:smallCaps w:val="false"/>
                                <w:caps w:val="false"/>
                                <w:sz w:val="36"/>
                                <w:szCs w:val="36"/>
                                <w:rFonts w:ascii="Arial Narrow" w:hAnsi="Arial Narrow" w:cstheme="minorBidi"/>
                                <w:color w:val="auto"/>
                                <w:lang w:val="en-US"/>
                                <w14:shadow w14:blurRad="38100" w14:dist="19050" w14:dir="2700000" w14:sx="100000" w14:sy="100000" w14:kx="0" w14:ky="0" w14:algn="tl">
                                  <w14:schemeClr w14:val="dk1">
                                    <w14:alpha w14:val="60000"/>
                                  </w14:schemeClr>
                                </w14:shadow>
                                <w14:textFill>
                                  <w14:noFill/>
                                </w14:textFill>
                                <w14:textOutline w14:w="0" w14:cap="flat" w14:cmpd="sng" w14:algn="ctr">
                                  <w14:noFill/>
                                  <w14:prstDash w14:val="solid"/>
                                  <w14:round/>
                                </w14:textOutline>
                              </w:rPr>
                              <w:t>12</w:t>
                            </w:r>
                          </w:p>
                        </w:txbxContent>
                      </wps:txbx>
                      <wps:bodyPr lIns="0" rIns="0" tIns="0" bIns="0" anchor="t" upright="1">
                        <a:noAutofit/>
                      </wps:bodyPr>
                    </wps:wsp>
                  </wpg:wgp>
                </a:graphicData>
              </a:graphic>
            </wp:anchor>
          </w:drawing>
        </mc:Choice>
        <mc:Fallback>
          <w:pict>
            <v:group id="shape_0" alt="Group 1" style="position:absolute;margin-left:0pt;margin-top:0.75pt;width:79.55pt;height:155.3pt" coordorigin="0,15" coordsize="1591,3106">
              <v:rect id="shape_0" ID="Rectangle 3" path="m0,0l-2147483645,0l-2147483645,-2147483646l0,-2147483646xe" fillcolor="#e5e4de" stroked="f" o:allowincell="f" style="position:absolute;left:0;top:15;width:1590;height:3026;mso-wrap-style:none;v-text-anchor:middle;mso-position-vertical-relative:page">
                <v:fill o:detectmouseclick="t" type="solid" color2="#1a1b21"/>
                <v:stroke color="#3465a4" joinstyle="round" endcap="flat"/>
                <w10:wrap type="square"/>
              </v:rect>
              <v:rect id="shape_0" ID="Rectangle 4" path="m0,0l-2147483645,0l-2147483645,-2147483646l0,-2147483646xe" fillcolor="#0e3b70" stroked="f" o:allowincell="f" style="position:absolute;left:0;top:3042;width:1590;height:79;mso-wrap-style:none;v-text-anchor:middle;mso-position-vertical-relative:page">
                <v:fill o:detectmouseclick="t" type="solid" color2="#f1c48f"/>
                <v:stroke color="#3465a4" joinstyle="round" endcap="flat"/>
                <w10:wrap type="square"/>
              </v:rect>
              <v:rect id="shape_0" ID="Text Box 5" path="m0,0l-2147483645,0l-2147483645,-2147483646l0,-2147483646xe" stroked="f" o:allowincell="f" style="position:absolute;left:0;top:15;width:1590;height:3066;mso-wrap-style:square;v-text-anchor:top;mso-position-vertical-relative:page">
                <v:textbox>
                  <w:txbxContent>
                    <w:p>
                      <w:pPr>
                        <w:overflowPunct w:val="false"/>
                        <w:spacing w:before="542" w:after="0" w:lineRule="auto" w:line="240"/>
                        <w:jc w:val="left"/>
                        <w:rPr/>
                      </w:pPr>
                      <w:r>
                        <w:rPr>
                          <w:sz w:val="52"/>
                          <w:b w:val="false"/>
                          <w:u w:val="none"/>
                          <w:dstrike w:val="false"/>
                          <w:strike w:val="false"/>
                          <w:i w:val="false"/>
                          <w:vertAlign w:val="baseline"/>
                          <w:position w:val="0"/>
                          <w:spacing w:val="0"/>
                          <w:szCs w:val="52"/>
                          <w:bCs w:val="false"/>
                          <w:iCs w:val="false"/>
                          <w:smallCaps w:val="false"/>
                          <w:caps w:val="false"/>
                          <w:rFonts w:ascii="Arial Narrow" w:hAnsi="Arial Narrow" w:cstheme="minorBidi"/>
                          <w:color w:va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sz w:val="52"/>
                          <w:b w:val="false"/>
                          <w:u w:val="none"/>
                          <w:dstrike w:val="false"/>
                          <w:strike w:val="false"/>
                          <w:i w:val="false"/>
                          <w:vertAlign w:val="baseline"/>
                          <w:position w:val="0"/>
                          <w:spacing w:val="0"/>
                          <w:szCs w:val="52"/>
                          <w:bCs w:val="false"/>
                          <w:iCs w:val="false"/>
                          <w:smallCaps w:val="false"/>
                          <w:caps w:val="false"/>
                          <w:rFonts w:ascii="Arial Narrow" w:hAnsi="Arial Narrow" w:cstheme="minorBidi"/>
                          <w:color w:va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Pr>
                          <w:b w:val="false"/>
                          <w:u w:val="none"/>
                          <w:dstrike w:val="false"/>
                          <w:strike w:val="false"/>
                          <w:i w:val="false"/>
                          <w:vertAlign w:val="baseline"/>
                          <w:position w:val="0"/>
                          <w:sz w:val="91"/>
                          <w:spacing w:val="0"/>
                          <w:bCs w:val="false"/>
                          <w:iCs w:val="false"/>
                          <w:smallCaps w:val="false"/>
                          <w:caps w:val="false"/>
                          <w:sz w:val="91"/>
                          <w:szCs w:val="91"/>
                          <w:rFonts w:ascii="Arial Narrow" w:hAnsi="Arial Narrow" w:cstheme="minorBidi"/>
                          <w:color w:val="auto"/>
                          <w:lang w:val="en-US"/>
                          <w14:shadow w14:blurRad="38100" w14:dist="19050" w14:dir="2700000" w14:sx="100000" w14:sy="100000" w14:kx="0" w14:ky="0" w14:algn="tl">
                            <w14:schemeClr w14:val="dk1">
                              <w14:alpha w14:val="60000"/>
                            </w14:schemeClr>
                          </w14:shadow>
                          <w14:textFill>
                            <w14:noFill/>
                          </w14:textFill>
                          <w14:textOutline w14:w="0" w14:cap="flat" w14:cmpd="sng" w14:algn="ctr">
                            <w14:noFill/>
                            <w14:prstDash w14:val="solid"/>
                            <w14:round/>
                          </w14:textOutline>
                        </w:rPr>
                        <w:t>212</w:t>
                      </w:r>
                      <w:r>
                        <w:rPr>
                          <w:b w:val="false"/>
                          <w:u w:val="none"/>
                          <w:dstrike w:val="false"/>
                          <w:strike w:val="false"/>
                          <w:i w:val="false"/>
                          <w:vertAlign w:val="baseline"/>
                          <w:position w:val="0"/>
                          <w:sz w:val="36"/>
                          <w:spacing w:val="0"/>
                          <w:bCs w:val="false"/>
                          <w:iCs w:val="false"/>
                          <w:smallCaps w:val="false"/>
                          <w:caps w:val="false"/>
                          <w:sz w:val="36"/>
                          <w:szCs w:val="36"/>
                          <w:rFonts w:ascii="Arial Narrow" w:hAnsi="Arial Narrow" w:cstheme="minorBidi"/>
                          <w:color w:val="auto"/>
                          <w:lang w:val="en-US"/>
                          <w14:shadow w14:blurRad="38100" w14:dist="19050" w14:dir="2700000" w14:sx="100000" w14:sy="100000" w14:kx="0" w14:ky="0" w14:algn="tl">
                            <w14:schemeClr w14:val="dk1">
                              <w14:alpha w14:val="60000"/>
                            </w14:schemeClr>
                          </w14:shadow>
                          <w14:textFill>
                            <w14:noFill/>
                          </w14:textFill>
                          <w14:textOutline w14:w="0" w14:cap="flat" w14:cmpd="sng" w14:algn="ctr">
                            <w14:noFill/>
                            <w14:prstDash w14:val="solid"/>
                            <w14:round/>
                          </w14:textOutline>
                        </w:rPr>
                        <w:t>12</w:t>
                      </w:r>
                    </w:p>
                  </w:txbxContent>
                </v:textbox>
                <v:fill o:detectmouseclick="t" on="false"/>
                <v:stroke color="#3465a4" joinstyle="round" endcap="flat"/>
                <w10:wrap type="square"/>
              </v:rect>
            </v:group>
          </w:pict>
        </mc:Fallback>
      </mc:AlternateContent>
      <mc:AlternateContent>
        <mc:Choice Requires="wpg">
          <w:drawing>
            <wp:anchor behindDoc="1" distT="0" distB="0" distL="114300" distR="114300" simplePos="0" locked="0" layoutInCell="0" allowOverlap="1" relativeHeight="47" wp14:anchorId="1A2940E9">
              <wp:simplePos x="0" y="0"/>
              <wp:positionH relativeFrom="column">
                <wp:posOffset>1123950</wp:posOffset>
              </wp:positionH>
              <wp:positionV relativeFrom="paragraph">
                <wp:posOffset>635</wp:posOffset>
              </wp:positionV>
              <wp:extent cx="6085840" cy="1976120"/>
              <wp:effectExtent l="0" t="0" r="0" b="5715"/>
              <wp:wrapSquare wrapText="bothSides"/>
              <wp:docPr id="18" name="Group 5"/>
              <a:graphic xmlns:a="http://schemas.openxmlformats.org/drawingml/2006/main">
                <a:graphicData uri="http://schemas.microsoft.com/office/word/2010/wordprocessingGroup">
                  <wpg:wgp>
                    <wpg:cNvGrpSpPr/>
                    <wpg:grpSpPr>
                      <a:xfrm>
                        <a:off x="0" y="0"/>
                        <a:ext cx="6085080" cy="1975320"/>
                        <a:chOff x="1123920" y="0"/>
                        <a:chExt cx="6085080" cy="1975320"/>
                      </a:xfrm>
                    </wpg:grpSpPr>
                    <wps:wsp>
                      <wps:cNvSpPr/>
                      <wps:spPr>
                        <a:xfrm>
                          <a:off x="5760" y="0"/>
                          <a:ext cx="6070680" cy="1922040"/>
                        </a:xfrm>
                        <a:prstGeom prst="rect">
                          <a:avLst/>
                        </a:prstGeom>
                        <a:solidFill>
                          <a:srgbClr val="e5e4de"/>
                        </a:solidFill>
                        <a:ln w="0">
                          <a:noFill/>
                        </a:ln>
                      </wps:spPr>
                      <wps:style>
                        <a:lnRef idx="0"/>
                        <a:fillRef idx="0"/>
                        <a:effectRef idx="0"/>
                        <a:fontRef idx="minor"/>
                      </wps:style>
                      <wps:bodyPr/>
                    </wps:wsp>
                    <wps:wsp>
                      <wps:cNvSpPr/>
                      <wps:spPr>
                        <a:xfrm>
                          <a:off x="3717360" y="462240"/>
                          <a:ext cx="448920" cy="448920"/>
                        </a:xfrm>
                        <a:prstGeom prst="rect">
                          <a:avLst/>
                        </a:prstGeom>
                        <a:solidFill>
                          <a:srgbClr val="0e3b70"/>
                        </a:solidFill>
                        <a:ln w="0">
                          <a:noFill/>
                        </a:ln>
                      </wps:spPr>
                      <wps:style>
                        <a:lnRef idx="0"/>
                        <a:fillRef idx="0"/>
                        <a:effectRef idx="0"/>
                        <a:fontRef idx="minor"/>
                      </wps:style>
                      <wps:bodyPr/>
                    </wps:wsp>
                    <pic:pic xmlns:pic="http://schemas.openxmlformats.org/drawingml/2006/picture">
                      <pic:nvPicPr>
                        <pic:cNvPr id="0" name="Picture 10" descr=""/>
                        <pic:cNvPicPr/>
                      </pic:nvPicPr>
                      <pic:blipFill>
                        <a:blip r:embed="rId1"/>
                        <a:stretch/>
                      </pic:blipFill>
                      <pic:spPr>
                        <a:xfrm>
                          <a:off x="3777120" y="522720"/>
                          <a:ext cx="329400" cy="329400"/>
                        </a:xfrm>
                        <a:prstGeom prst="rect">
                          <a:avLst/>
                        </a:prstGeom>
                        <a:ln w="0">
                          <a:noFill/>
                        </a:ln>
                      </pic:spPr>
                    </pic:pic>
                    <pic:pic xmlns:pic="http://schemas.openxmlformats.org/drawingml/2006/picture">
                      <pic:nvPicPr>
                        <pic:cNvPr id="1" name="Picture 11" descr=""/>
                        <pic:cNvPicPr/>
                      </pic:nvPicPr>
                      <pic:blipFill>
                        <a:blip r:embed="rId2"/>
                        <a:stretch/>
                      </pic:blipFill>
                      <pic:spPr>
                        <a:xfrm>
                          <a:off x="4274280" y="598320"/>
                          <a:ext cx="444960" cy="162720"/>
                        </a:xfrm>
                        <a:prstGeom prst="rect">
                          <a:avLst/>
                        </a:prstGeom>
                        <a:ln w="0">
                          <a:noFill/>
                        </a:ln>
                      </pic:spPr>
                    </pic:pic>
                    <pic:pic xmlns:pic="http://schemas.openxmlformats.org/drawingml/2006/picture">
                      <pic:nvPicPr>
                        <pic:cNvPr id="2" name="Picture 12" descr=""/>
                        <pic:cNvPicPr/>
                      </pic:nvPicPr>
                      <pic:blipFill>
                        <a:blip r:embed="rId3"/>
                        <a:stretch/>
                      </pic:blipFill>
                      <pic:spPr>
                        <a:xfrm>
                          <a:off x="4732200" y="598320"/>
                          <a:ext cx="348480" cy="175320"/>
                        </a:xfrm>
                        <a:prstGeom prst="rect">
                          <a:avLst/>
                        </a:prstGeom>
                        <a:ln w="0">
                          <a:noFill/>
                        </a:ln>
                      </pic:spPr>
                    </pic:pic>
                    <wps:wsp>
                      <wps:cNvSpPr/>
                      <wps:spPr>
                        <a:xfrm>
                          <a:off x="5144760" y="610920"/>
                          <a:ext cx="144720" cy="149400"/>
                        </a:xfrm>
                        <a:custGeom>
                          <a:avLst/>
                          <a:gdLst/>
                          <a:ahLst/>
                          <a:rect l="l" t="t"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w="0">
                          <a:noFill/>
                        </a:ln>
                      </wps:spPr>
                      <wps:style>
                        <a:lnRef idx="0"/>
                        <a:fillRef idx="0"/>
                        <a:effectRef idx="0"/>
                        <a:fontRef idx="minor"/>
                      </wps:style>
                      <wps:bodyPr/>
                    </wps:wsp>
                    <pic:pic xmlns:pic="http://schemas.openxmlformats.org/drawingml/2006/picture">
                      <pic:nvPicPr>
                        <pic:cNvPr id="3" name="Picture 14" descr=""/>
                        <pic:cNvPicPr/>
                      </pic:nvPicPr>
                      <pic:blipFill>
                        <a:blip r:embed="rId4"/>
                        <a:stretch/>
                      </pic:blipFill>
                      <pic:spPr>
                        <a:xfrm>
                          <a:off x="5492160" y="610920"/>
                          <a:ext cx="153720" cy="149400"/>
                        </a:xfrm>
                        <a:prstGeom prst="rect">
                          <a:avLst/>
                        </a:prstGeom>
                        <a:ln w="0">
                          <a:noFill/>
                        </a:ln>
                      </pic:spPr>
                    </pic:pic>
                    <pic:pic xmlns:pic="http://schemas.openxmlformats.org/drawingml/2006/picture">
                      <pic:nvPicPr>
                        <pic:cNvPr id="4" name="Picture 15" descr=""/>
                        <pic:cNvPicPr/>
                      </pic:nvPicPr>
                      <pic:blipFill>
                        <a:blip r:embed="rId5"/>
                        <a:stretch/>
                      </pic:blipFill>
                      <pic:spPr>
                        <a:xfrm>
                          <a:off x="5689440" y="610920"/>
                          <a:ext cx="156960" cy="149400"/>
                        </a:xfrm>
                        <a:prstGeom prst="rect">
                          <a:avLst/>
                        </a:prstGeom>
                        <a:ln w="0">
                          <a:noFill/>
                        </a:ln>
                      </pic:spPr>
                    </pic:pic>
                    <wps:wsp>
                      <wps:cNvSpPr/>
                      <wps:spPr>
                        <a:xfrm>
                          <a:off x="5297040" y="610920"/>
                          <a:ext cx="175320" cy="149400"/>
                        </a:xfrm>
                        <a:custGeom>
                          <a:avLst/>
                          <a:gdLst/>
                          <a:ahLst/>
                          <a:rect l="l" t="t"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w="0">
                          <a:noFill/>
                        </a:ln>
                      </wps:spPr>
                      <wps:style>
                        <a:lnRef idx="0"/>
                        <a:fillRef idx="0"/>
                        <a:effectRef idx="0"/>
                        <a:fontRef idx="minor"/>
                      </wps:style>
                      <wps:bodyPr/>
                    </wps:wsp>
                    <wps:wsp>
                      <wps:cNvSpPr/>
                      <wps:spPr>
                        <a:xfrm>
                          <a:off x="0" y="1924560"/>
                          <a:ext cx="6085080" cy="50760"/>
                        </a:xfrm>
                        <a:prstGeom prst="rect">
                          <a:avLst/>
                        </a:prstGeom>
                        <a:solidFill>
                          <a:srgbClr val="0e3b70"/>
                        </a:solidFill>
                        <a:ln w="0">
                          <a:noFill/>
                        </a:ln>
                      </wps:spPr>
                      <wps:style>
                        <a:lnRef idx="0"/>
                        <a:fillRef idx="0"/>
                        <a:effectRef idx="0"/>
                        <a:fontRef idx="minor"/>
                      </wps:style>
                      <wps:bodyPr/>
                    </wps:wsp>
                    <wps:wsp>
                      <wps:cNvSpPr/>
                      <wps:spPr>
                        <a:xfrm>
                          <a:off x="133920" y="1325160"/>
                          <a:ext cx="5701680" cy="5500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rial" w:hAnsi="Arial" w:cs="Arial"/>
                                <w:color w:val="0E3B70"/>
                              </w:rPr>
                              <w:t>Εβδομαδιαίο Δελτίο Οικονομικών Εξελίξεων</w:t>
                            </w:r>
                            <w:r>
                              <w:rPr>
                                <w:b w:val="false"/>
                                <w:u w:val="none"/>
                                <w:dstrike w:val="false"/>
                                <w:strike w:val="false"/>
                                <w:i w:val="false"/>
                                <w:vertAlign w:val="baseline"/>
                                <w:position w:val="0"/>
                                <w:sz w:val="28"/>
                                <w:spacing w:val="0"/>
                                <w:bCs w:val="false"/>
                                <w:iCs w:val="false"/>
                                <w:smallCaps w:val="false"/>
                                <w:caps w:val="false"/>
                                <w:sz w:val="28"/>
                                <w:szCs w:val="28"/>
                                <w:rFonts w:ascii="Arial" w:hAnsi="Arial" w:cs="Arial"/>
                                <w:color w:val="63A1AA"/>
                              </w:rPr>
                              <w:t>Διεύθυνση Οικονομικών Μελετών</w:t>
                            </w:r>
                          </w:p>
                        </w:txbxContent>
                      </wps:txbx>
                      <wps:bodyPr lIns="0" rIns="0" tIns="0" bIns="0" anchor="t" upright="1">
                        <a:noAutofit/>
                      </wps:bodyPr>
                    </wps:wsp>
                  </wpg:wgp>
                </a:graphicData>
              </a:graphic>
            </wp:anchor>
          </w:drawing>
        </mc:Choice>
        <mc:Fallback>
          <w:pict>
            <v:group id="shape_0" alt="Group 5" style="position:absolute;margin-left:88.5pt;margin-top:0pt;width:479.15pt;height:155.55pt" coordorigin="1770,0" coordsize="9583,3111">
              <v:rect id="shape_0" ID="Rectangle 7" path="m0,0l-2147483645,0l-2147483645,-2147483646l0,-2147483646xe" fillcolor="#e5e4de" stroked="f" o:allowincell="f" style="position:absolute;left:1779;top:0;width:9559;height:3026;mso-wrap-style:none;v-text-anchor:middle">
                <v:fill o:detectmouseclick="t" type="solid" color2="#1a1b21"/>
                <v:stroke color="#3465a4" joinstyle="round" endcap="flat"/>
                <w10:wrap type="square"/>
              </v:rect>
              <v:rect id="shape_0" ID="Rectangle 8" path="m0,0l-2147483645,0l-2147483645,-2147483646l0,-2147483646xe" fillcolor="#0e3b70" stroked="f" o:allowincell="f" style="position:absolute;left:7624;top:728;width:706;height:706;mso-wrap-style:none;v-text-anchor:middle">
                <v:fill o:detectmouseclick="t" type="solid" color2="#f1c48f"/>
                <v:stroke color="#3465a4" joinstyle="round" endcap="flat"/>
                <w10:wrap type="squar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0" stroked="f" o:allowincell="f" style="position:absolute;left:7718;top:823;width:518;height:518;mso-wrap-style:none;v-text-anchor:middle" type="_x0000_t75">
                <v:imagedata r:id="rId1" o:detectmouseclick="t"/>
                <v:stroke color="#3465a4" joinstyle="round" endcap="flat"/>
                <w10:wrap type="square"/>
              </v:shape>
              <v:shape id="shape_0" ID="Picture 11" stroked="f" o:allowincell="f" style="position:absolute;left:8501;top:942;width:700;height:255;mso-wrap-style:none;v-text-anchor:middle" type="_x0000_t75">
                <v:imagedata r:id="rId2" o:detectmouseclick="t"/>
                <v:stroke color="#3465a4" joinstyle="round" endcap="flat"/>
                <w10:wrap type="square"/>
              </v:shape>
              <v:shape id="shape_0" ID="Picture 12" stroked="f" o:allowincell="f" style="position:absolute;left:9222;top:942;width:548;height:275;mso-wrap-style:none;v-text-anchor:middle" type="_x0000_t75">
                <v:imagedata r:id="rId3" o:detectmouseclick="t"/>
                <v:stroke color="#3465a4" joinstyle="round" endcap="flat"/>
                <w10:wrap type="square"/>
              </v:shape>
              <v:shape id="shape_0" ID="Picture 14" stroked="f" o:allowincell="f" style="position:absolute;left:10419;top:962;width:241;height:234;mso-wrap-style:none;v-text-anchor:middle" type="_x0000_t75">
                <v:imagedata r:id="rId4" o:detectmouseclick="t"/>
                <v:stroke color="#3465a4" joinstyle="round" endcap="flat"/>
                <w10:wrap type="square"/>
              </v:shape>
              <v:shape id="shape_0" ID="Picture 15" stroked="f" o:allowincell="f" style="position:absolute;left:10730;top:962;width:246;height:234;mso-wrap-style:none;v-text-anchor:middle" type="_x0000_t75">
                <v:imagedata r:id="rId5" o:detectmouseclick="t"/>
                <v:stroke color="#3465a4" joinstyle="round" endcap="flat"/>
                <w10:wrap type="square"/>
              </v:shape>
              <v:rect id="shape_0" ID="Rectangle 17" path="m0,0l-2147483645,0l-2147483645,-2147483646l0,-2147483646xe" fillcolor="#0e3b70" stroked="f" o:allowincell="f" style="position:absolute;left:1770;top:3031;width:9582;height:79;mso-wrap-style:none;v-text-anchor:middle">
                <v:fill o:detectmouseclick="t" type="solid" color2="#f1c48f"/>
                <v:stroke color="#3465a4" joinstyle="round" endcap="flat"/>
                <w10:wrap type="square"/>
              </v:rect>
              <v:rect id="shape_0" ID="Text Box 18" path="m0,0l-2147483645,0l-2147483645,-2147483646l0,-2147483646xe" stroked="f" o:allowincell="f" style="position:absolute;left:1981;top:2087;width:8978;height:865;mso-wrap-style:square;v-text-anchor:top">
                <v:textbox>
                  <w:txbxContent>
                    <w:p>
                      <w:pPr>
                        <w:overflowPunct w:val="false"/>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Fonts w:ascii="Arial" w:hAnsi="Arial" w:cs="Arial"/>
                          <w:color w:val="0E3B70"/>
                        </w:rPr>
                        <w:t>Εβδομαδιαίο Δελτίο Οικονομικών Εξελίξεων</w:t>
                      </w:r>
                      <w:r>
                        <w:rPr>
                          <w:b w:val="false"/>
                          <w:u w:val="none"/>
                          <w:dstrike w:val="false"/>
                          <w:strike w:val="false"/>
                          <w:i w:val="false"/>
                          <w:vertAlign w:val="baseline"/>
                          <w:position w:val="0"/>
                          <w:sz w:val="28"/>
                          <w:spacing w:val="0"/>
                          <w:bCs w:val="false"/>
                          <w:iCs w:val="false"/>
                          <w:smallCaps w:val="false"/>
                          <w:caps w:val="false"/>
                          <w:sz w:val="28"/>
                          <w:szCs w:val="28"/>
                          <w:rFonts w:ascii="Arial" w:hAnsi="Arial" w:cs="Arial"/>
                          <w:color w:val="63A1AA"/>
                        </w:rPr>
                        <w:t>Διεύθυνση Οικονομικών Μελετών</w:t>
                      </w:r>
                    </w:p>
                  </w:txbxContent>
                </v:textbox>
                <v:fill o:detectmouseclick="t" on="false"/>
                <v:stroke color="#3465a4" joinstyle="round" endcap="flat"/>
                <w10:wrap type="square"/>
              </v:rect>
            </v:group>
          </w:pict>
        </mc:Fallback>
      </mc:AlternateContent>
      <mc:AlternateContent>
        <mc:Choice Requires="wps">
          <w:drawing>
            <wp:anchor behindDoc="1" distT="50165" distB="50165" distL="118745" distR="118745" simplePos="0" locked="0" layoutInCell="0" allowOverlap="1" relativeHeight="50" wp14:anchorId="3E60A902">
              <wp:simplePos x="0" y="0"/>
              <wp:positionH relativeFrom="column">
                <wp:posOffset>1008380</wp:posOffset>
              </wp:positionH>
              <wp:positionV relativeFrom="paragraph">
                <wp:posOffset>698500</wp:posOffset>
              </wp:positionV>
              <wp:extent cx="1657985" cy="305435"/>
              <wp:effectExtent l="0" t="0" r="0" b="0"/>
              <wp:wrapSquare wrapText="bothSides"/>
              <wp:docPr id="19" name="Πλαίσιο κειμένου 2"/>
              <a:graphic xmlns:a="http://schemas.openxmlformats.org/drawingml/2006/main">
                <a:graphicData uri="http://schemas.microsoft.com/office/word/2010/wordprocessingShape">
                  <wps:wsp>
                    <wps:cNvSpPr/>
                    <wps:spPr>
                      <a:xfrm>
                        <a:off x="0" y="0"/>
                        <a:ext cx="1657440" cy="304920"/>
                      </a:xfrm>
                      <a:prstGeom prst="rect">
                        <a:avLst/>
                      </a:prstGeom>
                      <a:noFill/>
                      <a:ln w="9525">
                        <a:noFill/>
                      </a:ln>
                    </wps:spPr>
                    <wps:style>
                      <a:lnRef idx="0"/>
                      <a:fillRef idx="0"/>
                      <a:effectRef idx="0"/>
                      <a:fontRef idx="minor"/>
                    </wps:style>
                    <wps:txbx>
                      <w:txbxContent>
                        <w:p>
                          <w:pPr>
                            <w:pStyle w:val="Style28"/>
                            <w:spacing w:before="0" w:after="160"/>
                            <w:rPr>
                              <w:sz w:val="20"/>
                            </w:rPr>
                          </w:pPr>
                          <w:r>
                            <w:rPr>
                              <w:rFonts w:cs="Arial" w:ascii="Arial" w:hAnsi="Arial"/>
                              <w:color w:val="0E3B70"/>
                              <w:sz w:val="28"/>
                              <w:lang w:val="en-US"/>
                            </w:rPr>
                            <w:t xml:space="preserve">  </w:t>
                          </w:r>
                          <w:r>
                            <w:rPr>
                              <w:rFonts w:cs="Arial" w:ascii="Arial" w:hAnsi="Arial"/>
                              <w:color w:val="0E3B70"/>
                              <w:sz w:val="28"/>
                              <w:lang w:val="en-US"/>
                            </w:rPr>
                            <w:t>ΦΕΒΡ</w:t>
                          </w:r>
                          <w:r>
                            <w:rPr>
                              <w:rFonts w:cs="Arial" w:ascii="Arial" w:hAnsi="Arial"/>
                              <w:color w:val="0E3B70"/>
                              <w:sz w:val="28"/>
                            </w:rPr>
                            <w:t>ΟΥΑΡΙΟΥ</w:t>
                          </w:r>
                        </w:p>
                      </w:txbxContent>
                    </wps:txbx>
                    <wps:bodyPr anchor="t">
                      <a:noAutofit/>
                    </wps:bodyPr>
                  </wps:wsp>
                </a:graphicData>
              </a:graphic>
            </wp:anchor>
          </w:drawing>
        </mc:Choice>
        <mc:Fallback>
          <w:pict>
            <v:rect id="shape_0" ID="Πλαίσιο κειμένου 2" path="m0,0l-2147483645,0l-2147483645,-2147483646l0,-2147483646xe" fillcolor="#e7e6e6" stroked="f" o:allowincell="f" style="position:absolute;margin-left:79.4pt;margin-top:55pt;width:130.45pt;height:23.95pt;mso-wrap-style:square;v-text-anchor:top" wp14:anchorId="3E60A902">
              <v:fill o:detectmouseclick="t" type="solid" color2="#181919" opacity="0"/>
              <v:stroke color="#3465a4" weight="9360" joinstyle="miter" endcap="flat"/>
              <v:textbox>
                <w:txbxContent>
                  <w:p>
                    <w:pPr>
                      <w:pStyle w:val="Style28"/>
                      <w:spacing w:before="0" w:after="160"/>
                      <w:rPr>
                        <w:sz w:val="20"/>
                      </w:rPr>
                    </w:pPr>
                    <w:r>
                      <w:rPr>
                        <w:rFonts w:cs="Arial" w:ascii="Arial" w:hAnsi="Arial"/>
                        <w:color w:val="0E3B70"/>
                        <w:sz w:val="28"/>
                        <w:lang w:val="en-US"/>
                      </w:rPr>
                      <w:t xml:space="preserve">  </w:t>
                    </w:r>
                    <w:r>
                      <w:rPr>
                        <w:rFonts w:cs="Arial" w:ascii="Arial" w:hAnsi="Arial"/>
                        <w:color w:val="0E3B70"/>
                        <w:sz w:val="28"/>
                        <w:lang w:val="en-US"/>
                      </w:rPr>
                      <w:t>ΦΕΒΡ</w:t>
                    </w:r>
                    <w:r>
                      <w:rPr>
                        <w:rFonts w:cs="Arial" w:ascii="Arial" w:hAnsi="Arial"/>
                        <w:color w:val="0E3B70"/>
                        <w:sz w:val="28"/>
                      </w:rPr>
                      <w:t>ΟΥΑΡΙΟΥ</w:t>
                    </w:r>
                  </w:p>
                </w:txbxContent>
              </v:textbox>
              <w10:wrap type="square"/>
            </v:rect>
          </w:pict>
        </mc:Fallback>
      </mc:AlternateContent>
      <mc:AlternateContent>
        <mc:Choice Requires="wps">
          <w:drawing>
            <wp:anchor behindDoc="1" distT="50165" distB="50165" distL="118745" distR="118745" simplePos="0" locked="0" layoutInCell="0" allowOverlap="1" relativeHeight="65" wp14:anchorId="4FD26FE0">
              <wp:simplePos x="0" y="0"/>
              <wp:positionH relativeFrom="column">
                <wp:posOffset>1113155</wp:posOffset>
              </wp:positionH>
              <wp:positionV relativeFrom="paragraph">
                <wp:posOffset>342265</wp:posOffset>
              </wp:positionV>
              <wp:extent cx="1162685" cy="421640"/>
              <wp:effectExtent l="0" t="0" r="0" b="0"/>
              <wp:wrapSquare wrapText="bothSides"/>
              <wp:docPr id="21" name="Πλαίσιο κειμένου 2"/>
              <a:graphic xmlns:a="http://schemas.openxmlformats.org/drawingml/2006/main">
                <a:graphicData uri="http://schemas.microsoft.com/office/word/2010/wordprocessingShape">
                  <wps:wsp>
                    <wps:cNvSpPr/>
                    <wps:spPr>
                      <a:xfrm>
                        <a:off x="0" y="0"/>
                        <a:ext cx="1162080" cy="420840"/>
                      </a:xfrm>
                      <a:prstGeom prst="rect">
                        <a:avLst/>
                      </a:prstGeom>
                      <a:noFill/>
                      <a:ln w="9525">
                        <a:noFill/>
                      </a:ln>
                    </wps:spPr>
                    <wps:style>
                      <a:lnRef idx="0"/>
                      <a:fillRef idx="0"/>
                      <a:effectRef idx="0"/>
                      <a:fontRef idx="minor"/>
                    </wps:style>
                    <wps:txbx>
                      <w:txbxContent>
                        <w:p>
                          <w:pPr>
                            <w:pStyle w:val="Style28"/>
                            <w:rPr>
                              <w:rFonts w:ascii="Arial" w:hAnsi="Arial" w:cs="Arial"/>
                              <w:color w:val="0E3B70"/>
                              <w:sz w:val="40"/>
                              <w:szCs w:val="40"/>
                              <w:lang w:val="en-US"/>
                            </w:rPr>
                          </w:pPr>
                          <w:r>
                            <w:rPr>
                              <w:rFonts w:cs="Arial" w:ascii="Arial" w:hAnsi="Arial"/>
                              <w:color w:val="0E3B70"/>
                              <w:sz w:val="40"/>
                              <w:szCs w:val="40"/>
                              <w:lang w:val="en-US"/>
                            </w:rPr>
                            <w:t>8</w:t>
                          </w:r>
                        </w:p>
                        <w:p>
                          <w:pPr>
                            <w:pStyle w:val="Style28"/>
                            <w:spacing w:before="0" w:after="160"/>
                            <w:rPr/>
                          </w:pPr>
                          <w:r>
                            <w:rPr/>
                          </w:r>
                        </w:p>
                      </w:txbxContent>
                    </wps:txbx>
                    <wps:bodyPr anchor="t">
                      <a:noAutofit/>
                    </wps:bodyPr>
                  </wps:wsp>
                </a:graphicData>
              </a:graphic>
            </wp:anchor>
          </w:drawing>
        </mc:Choice>
        <mc:Fallback>
          <w:pict>
            <v:rect id="shape_0" ID="Πλαίσιο κειμένου 2" path="m0,0l-2147483645,0l-2147483645,-2147483646l0,-2147483646xe" fillcolor="#e7e6e6" stroked="f" o:allowincell="f" style="position:absolute;margin-left:87.65pt;margin-top:26.95pt;width:91.45pt;height:33.1pt;mso-wrap-style:square;v-text-anchor:top" wp14:anchorId="4FD26FE0">
              <v:fill o:detectmouseclick="t" type="solid" color2="#181919" opacity="0"/>
              <v:stroke color="#3465a4" weight="9360" joinstyle="miter" endcap="flat"/>
              <v:textbox>
                <w:txbxContent>
                  <w:p>
                    <w:pPr>
                      <w:pStyle w:val="Style28"/>
                      <w:rPr>
                        <w:rFonts w:ascii="Arial" w:hAnsi="Arial" w:cs="Arial"/>
                        <w:color w:val="0E3B70"/>
                        <w:sz w:val="40"/>
                        <w:szCs w:val="40"/>
                        <w:lang w:val="en-US"/>
                      </w:rPr>
                    </w:pPr>
                    <w:r>
                      <w:rPr>
                        <w:rFonts w:cs="Arial" w:ascii="Arial" w:hAnsi="Arial"/>
                        <w:color w:val="0E3B70"/>
                        <w:sz w:val="40"/>
                        <w:szCs w:val="40"/>
                        <w:lang w:val="en-US"/>
                      </w:rPr>
                      <w:t>8</w:t>
                    </w:r>
                  </w:p>
                  <w:p>
                    <w:pPr>
                      <w:pStyle w:val="Style28"/>
                      <w:spacing w:before="0" w:after="160"/>
                      <w:rPr/>
                    </w:pPr>
                    <w:r>
                      <w:rPr/>
                    </w:r>
                  </w:p>
                </w:txbxContent>
              </v:textbox>
              <w10:wrap type="square"/>
            </v:rect>
          </w:pict>
        </mc:Fallback>
      </mc:AlternateConten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Heading1Char"/>
    <w:uiPriority w:val="1"/>
    <w:qFormat/>
    <w:rsid w:val="00fe233e"/>
    <w:pPr>
      <w:widowControl w:val="false"/>
      <w:spacing w:lineRule="auto" w:line="240" w:before="69" w:after="0"/>
      <w:ind w:left="680" w:hanging="0"/>
      <w:outlineLvl w:val="0"/>
    </w:pPr>
    <w:rPr>
      <w:rFonts w:ascii="Arial" w:hAnsi="Arial" w:eastAsia="" w:cs="Arial" w:eastAsiaTheme="minorEastAsia"/>
      <w:b/>
      <w:bCs/>
      <w:sz w:val="24"/>
      <w:szCs w:val="24"/>
      <w:lang w:eastAsia="el-G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56f1e"/>
    <w:rPr>
      <w:rFonts w:ascii="Tahoma" w:hAnsi="Tahoma" w:cs="Tahoma"/>
      <w:sz w:val="16"/>
      <w:szCs w:val="16"/>
    </w:rPr>
  </w:style>
  <w:style w:type="character" w:styleId="BodyTextChar" w:customStyle="1">
    <w:name w:val="Body Text Char"/>
    <w:basedOn w:val="DefaultParagraphFont"/>
    <w:link w:val="BodyText"/>
    <w:uiPriority w:val="1"/>
    <w:qFormat/>
    <w:rsid w:val="00f7156e"/>
    <w:rPr>
      <w:rFonts w:ascii="Arial" w:hAnsi="Arial" w:eastAsia="Arial" w:cs="Arial"/>
      <w:sz w:val="19"/>
      <w:szCs w:val="19"/>
      <w:lang w:val="en-US"/>
    </w:rPr>
  </w:style>
  <w:style w:type="character" w:styleId="HeaderChar" w:customStyle="1">
    <w:name w:val="Header Char"/>
    <w:basedOn w:val="DefaultParagraphFont"/>
    <w:link w:val="Header"/>
    <w:uiPriority w:val="99"/>
    <w:qFormat/>
    <w:rsid w:val="002453d6"/>
    <w:rPr/>
  </w:style>
  <w:style w:type="character" w:styleId="FooterChar" w:customStyle="1">
    <w:name w:val="Footer Char"/>
    <w:basedOn w:val="DefaultParagraphFont"/>
    <w:link w:val="Footer"/>
    <w:uiPriority w:val="99"/>
    <w:qFormat/>
    <w:rsid w:val="002453d6"/>
    <w:rPr/>
  </w:style>
  <w:style w:type="character" w:styleId="Heading1Char" w:customStyle="1">
    <w:name w:val="Heading 1 Char"/>
    <w:basedOn w:val="DefaultParagraphFont"/>
    <w:link w:val="Heading1"/>
    <w:uiPriority w:val="1"/>
    <w:qFormat/>
    <w:rsid w:val="00fe233e"/>
    <w:rPr>
      <w:rFonts w:ascii="Arial" w:hAnsi="Arial" w:eastAsia="" w:cs="Arial" w:eastAsiaTheme="minorEastAsia"/>
      <w:b/>
      <w:bCs/>
      <w:sz w:val="24"/>
      <w:szCs w:val="24"/>
      <w:lang w:eastAsia="el-GR"/>
    </w:rPr>
  </w:style>
  <w:style w:type="character" w:styleId="EndnoteTextChar" w:customStyle="1">
    <w:name w:val="Endnote Text Char"/>
    <w:basedOn w:val="DefaultParagraphFont"/>
    <w:link w:val="EndnoteText"/>
    <w:uiPriority w:val="99"/>
    <w:qFormat/>
    <w:rsid w:val="000c753c"/>
    <w:rPr>
      <w:rFonts w:ascii="Calibri" w:hAnsi="Calibri" w:eastAsia="Calibri" w:cs="Times New Roman"/>
      <w:sz w:val="20"/>
      <w:szCs w:val="20"/>
    </w:rPr>
  </w:style>
  <w:style w:type="character" w:styleId="Style13">
    <w:name w:val="Αγκίστρωση σημειώσεων τέλους"/>
    <w:rPr>
      <w:vertAlign w:val="superscript"/>
    </w:rPr>
  </w:style>
  <w:style w:type="character" w:styleId="EndnoteCharacters">
    <w:name w:val="Endnote Characters"/>
    <w:uiPriority w:val="99"/>
    <w:semiHidden/>
    <w:unhideWhenUsed/>
    <w:qFormat/>
    <w:rsid w:val="000c753c"/>
    <w:rPr>
      <w:vertAlign w:val="superscript"/>
    </w:rPr>
  </w:style>
  <w:style w:type="character" w:styleId="FootnoteTextChar" w:customStyle="1">
    <w:name w:val="Footnote Text Char"/>
    <w:basedOn w:val="DefaultParagraphFont"/>
    <w:link w:val="FootnoteText"/>
    <w:uiPriority w:val="99"/>
    <w:qFormat/>
    <w:rsid w:val="000c753c"/>
    <w:rPr>
      <w:rFonts w:ascii="Times New Roman" w:hAnsi="Times New Roman" w:eastAsia="Times New Roman" w:cs="Times New Roman"/>
      <w:sz w:val="20"/>
      <w:szCs w:val="20"/>
    </w:rPr>
  </w:style>
  <w:style w:type="character" w:styleId="Style14">
    <w:name w:val="Αγκίστρωση υποσημείωσης"/>
    <w:rPr>
      <w:rFonts w:ascii="Arial" w:hAnsi="Arial" w:eastAsia="Arial Unicode MS" w:cs="Arial"/>
      <w:vertAlign w:val="superscript"/>
    </w:rPr>
  </w:style>
  <w:style w:type="character" w:styleId="FootnoteCharacters">
    <w:name w:val="Footnote Characters"/>
    <w:uiPriority w:val="99"/>
    <w:qFormat/>
    <w:rsid w:val="000c753c"/>
    <w:rPr>
      <w:rFonts w:ascii="Arial" w:hAnsi="Arial" w:eastAsia="Arial Unicode MS" w:cs="Arial"/>
      <w:vertAlign w:val="superscript"/>
    </w:rPr>
  </w:style>
  <w:style w:type="character" w:styleId="Annotationreference">
    <w:name w:val="annotation reference"/>
    <w:basedOn w:val="DefaultParagraphFont"/>
    <w:uiPriority w:val="99"/>
    <w:semiHidden/>
    <w:unhideWhenUsed/>
    <w:qFormat/>
    <w:rsid w:val="001974e1"/>
    <w:rPr>
      <w:sz w:val="16"/>
      <w:szCs w:val="16"/>
    </w:rPr>
  </w:style>
  <w:style w:type="character" w:styleId="CommentTextChar" w:customStyle="1">
    <w:name w:val="Comment Text Char"/>
    <w:basedOn w:val="DefaultParagraphFont"/>
    <w:link w:val="CommentText"/>
    <w:uiPriority w:val="99"/>
    <w:semiHidden/>
    <w:qFormat/>
    <w:rsid w:val="001974e1"/>
    <w:rPr>
      <w:sz w:val="20"/>
      <w:szCs w:val="20"/>
    </w:rPr>
  </w:style>
  <w:style w:type="character" w:styleId="CommentSubjectChar" w:customStyle="1">
    <w:name w:val="Comment Subject Char"/>
    <w:basedOn w:val="CommentTextChar"/>
    <w:link w:val="CommentSubject"/>
    <w:uiPriority w:val="99"/>
    <w:semiHidden/>
    <w:qFormat/>
    <w:rsid w:val="001974e1"/>
    <w:rPr>
      <w:b/>
      <w:bCs/>
      <w:sz w:val="20"/>
      <w:szCs w:val="20"/>
    </w:rPr>
  </w:style>
  <w:style w:type="character" w:styleId="Style15">
    <w:name w:val="Σύνδεσμος διαδικτύου"/>
    <w:basedOn w:val="DefaultParagraphFont"/>
    <w:uiPriority w:val="99"/>
    <w:unhideWhenUsed/>
    <w:rsid w:val="00491556"/>
    <w:rPr>
      <w:color w:val="0000FF"/>
      <w:u w:val="single"/>
    </w:rPr>
  </w:style>
  <w:style w:type="character" w:styleId="UnresolvedMention1" w:customStyle="1">
    <w:name w:val="Unresolved Mention1"/>
    <w:basedOn w:val="DefaultParagraphFont"/>
    <w:uiPriority w:val="99"/>
    <w:semiHidden/>
    <w:unhideWhenUsed/>
    <w:qFormat/>
    <w:rsid w:val="00a42449"/>
    <w:rPr>
      <w:color w:val="605E5C"/>
      <w:shd w:fill="E1DFDD" w:val="clear"/>
    </w:rPr>
  </w:style>
  <w:style w:type="character" w:styleId="Style16">
    <w:name w:val="Αναγνωσμένος δεσμός διαδικτύου"/>
    <w:basedOn w:val="DefaultParagraphFont"/>
    <w:uiPriority w:val="99"/>
    <w:semiHidden/>
    <w:unhideWhenUsed/>
    <w:rsid w:val="00a42449"/>
    <w:rPr>
      <w:color w:val="954F72" w:themeColor="followedHyperlink"/>
      <w:u w:val="single"/>
    </w:rPr>
  </w:style>
  <w:style w:type="character" w:styleId="Style17">
    <w:name w:val="Χαρακτήρες σημείωσης τέλους"/>
    <w:qFormat/>
    <w:rPr/>
  </w:style>
  <w:style w:type="paragraph" w:styleId="Style18">
    <w:name w:val="Επικεφαλίδα"/>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BodyTextChar"/>
    <w:uiPriority w:val="1"/>
    <w:qFormat/>
    <w:rsid w:val="00f7156e"/>
    <w:pPr>
      <w:widowControl w:val="false"/>
      <w:spacing w:lineRule="auto" w:line="240" w:before="0" w:after="0"/>
    </w:pPr>
    <w:rPr>
      <w:rFonts w:ascii="Arial" w:hAnsi="Arial" w:eastAsia="Arial" w:cs="Arial"/>
      <w:sz w:val="19"/>
      <w:szCs w:val="19"/>
      <w:lang w:val="en-US"/>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Ευρετήριο"/>
    <w:basedOn w:val="Normal"/>
    <w:qFormat/>
    <w:pPr>
      <w:suppressLineNumbers/>
    </w:pPr>
    <w:rPr>
      <w:rFonts w:cs="Arial"/>
      <w:lang w:val="zxx" w:eastAsia="zxx" w:bidi="zxx"/>
    </w:rPr>
  </w:style>
  <w:style w:type="paragraph" w:styleId="BalloonText">
    <w:name w:val="Balloon Text"/>
    <w:basedOn w:val="Normal"/>
    <w:link w:val="BalloonTextChar"/>
    <w:uiPriority w:val="99"/>
    <w:semiHidden/>
    <w:unhideWhenUsed/>
    <w:qFormat/>
    <w:rsid w:val="00356f1e"/>
    <w:pPr>
      <w:spacing w:lineRule="auto" w:line="240" w:before="0" w:after="0"/>
    </w:pPr>
    <w:rPr>
      <w:rFonts w:ascii="Tahoma" w:hAnsi="Tahoma" w:cs="Tahoma"/>
      <w:sz w:val="16"/>
      <w:szCs w:val="16"/>
    </w:rPr>
  </w:style>
  <w:style w:type="paragraph" w:styleId="Style23">
    <w:name w:val="Κεφαλίδα και υποσέλιδο"/>
    <w:basedOn w:val="Normal"/>
    <w:qFormat/>
    <w:pPr/>
    <w:rPr/>
  </w:style>
  <w:style w:type="paragraph" w:styleId="Style24">
    <w:name w:val="Header"/>
    <w:basedOn w:val="Normal"/>
    <w:link w:val="HeaderChar"/>
    <w:uiPriority w:val="99"/>
    <w:unhideWhenUsed/>
    <w:rsid w:val="002453d6"/>
    <w:pPr>
      <w:tabs>
        <w:tab w:val="clear" w:pos="720"/>
        <w:tab w:val="center" w:pos="4153" w:leader="none"/>
        <w:tab w:val="right" w:pos="8306" w:leader="none"/>
      </w:tabs>
      <w:spacing w:lineRule="auto" w:line="240" w:before="0" w:after="0"/>
    </w:pPr>
    <w:rPr/>
  </w:style>
  <w:style w:type="paragraph" w:styleId="Style25">
    <w:name w:val="Footer"/>
    <w:basedOn w:val="Normal"/>
    <w:link w:val="FooterChar"/>
    <w:uiPriority w:val="99"/>
    <w:unhideWhenUsed/>
    <w:rsid w:val="002453d6"/>
    <w:pPr>
      <w:tabs>
        <w:tab w:val="clear" w:pos="720"/>
        <w:tab w:val="center" w:pos="4153" w:leader="none"/>
        <w:tab w:val="right" w:pos="8306" w:leader="none"/>
      </w:tabs>
      <w:spacing w:lineRule="auto" w:line="240" w:before="0" w:after="0"/>
    </w:pPr>
    <w:rPr/>
  </w:style>
  <w:style w:type="paragraph" w:styleId="TableParagraph" w:customStyle="1">
    <w:name w:val="Table Paragraph"/>
    <w:basedOn w:val="Normal"/>
    <w:uiPriority w:val="1"/>
    <w:qFormat/>
    <w:rsid w:val="00811936"/>
    <w:pPr>
      <w:widowControl w:val="false"/>
      <w:spacing w:lineRule="auto" w:line="240" w:before="0" w:after="0"/>
    </w:pPr>
    <w:rPr>
      <w:rFonts w:ascii="Times New Roman" w:hAnsi="Times New Roman" w:eastAsia="" w:cs="Times New Roman" w:eastAsiaTheme="minorEastAsia"/>
      <w:sz w:val="24"/>
      <w:szCs w:val="24"/>
      <w:lang w:eastAsia="el-GR"/>
    </w:rPr>
  </w:style>
  <w:style w:type="paragraph" w:styleId="ListParagraph">
    <w:name w:val="List Paragraph"/>
    <w:basedOn w:val="Normal"/>
    <w:uiPriority w:val="34"/>
    <w:qFormat/>
    <w:rsid w:val="000c4634"/>
    <w:pPr>
      <w:spacing w:before="0" w:after="160"/>
      <w:ind w:left="720" w:hanging="0"/>
      <w:contextualSpacing/>
    </w:pPr>
    <w:rPr>
      <w:rFonts w:ascii="Arial" w:hAnsi="Arial" w:eastAsia="Calibri" w:cs="Times New Roman"/>
    </w:rPr>
  </w:style>
  <w:style w:type="paragraph" w:styleId="Style26">
    <w:name w:val="Endnote Text"/>
    <w:basedOn w:val="Normal"/>
    <w:link w:val="EndnoteTextChar"/>
    <w:uiPriority w:val="99"/>
    <w:unhideWhenUsed/>
    <w:rsid w:val="000c753c"/>
    <w:pPr/>
    <w:rPr>
      <w:rFonts w:ascii="Calibri" w:hAnsi="Calibri" w:eastAsia="Calibri" w:cs="Times New Roman"/>
      <w:sz w:val="20"/>
      <w:szCs w:val="20"/>
    </w:rPr>
  </w:style>
  <w:style w:type="paragraph" w:styleId="Style27">
    <w:name w:val="Footnote Text"/>
    <w:basedOn w:val="Normal"/>
    <w:link w:val="FootnoteTextChar"/>
    <w:uiPriority w:val="99"/>
    <w:rsid w:val="000c753c"/>
    <w:pPr>
      <w:spacing w:lineRule="auto" w:line="240" w:before="0" w:after="0"/>
    </w:pPr>
    <w:rPr>
      <w:rFonts w:ascii="Times New Roman" w:hAnsi="Times New Roman" w:eastAsia="Times New Roman" w:cs="Times New Roman"/>
      <w:sz w:val="20"/>
      <w:szCs w:val="20"/>
    </w:rPr>
  </w:style>
  <w:style w:type="paragraph" w:styleId="Annotationtext">
    <w:name w:val="annotation text"/>
    <w:basedOn w:val="Normal"/>
    <w:link w:val="CommentTextChar"/>
    <w:uiPriority w:val="99"/>
    <w:semiHidden/>
    <w:unhideWhenUsed/>
    <w:qFormat/>
    <w:rsid w:val="001974e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974e1"/>
    <w:pPr/>
    <w:rPr>
      <w:b/>
      <w:bCs/>
    </w:rPr>
  </w:style>
  <w:style w:type="paragraph" w:styleId="Style28">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04e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alpha.gr/-/media/alphagr/files/group/agores/weekly-economic-report/2022/20220128weekly.pdf" TargetMode="External"/><Relationship Id="rId5" Type="http://schemas.openxmlformats.org/officeDocument/2006/relationships/image" Target="media/image3.jpeg"/><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Relationship Id="rId21" Type="http://schemas.openxmlformats.org/officeDocument/2006/relationships/customXml" Target="../customXml/item5.xml"/>
</Relationships>
</file>

<file path=word/_rels/header2.xml.rels><?xml version="1.0" encoding="UTF-8"?>
<Relationships xmlns="http://schemas.openxmlformats.org/package/2006/relationships"><Relationship Id="rId1" Type="http://schemas.openxmlformats.org/officeDocument/2006/relationships/image" Target="media/image6.jpeg"/>
</Relationships>
</file>

<file path=word/_rels/header3.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3CB527-BEC6-4EF4-BE27-E1D754C463A9}">
  <ds:schemaRefs>
    <ds:schemaRef ds:uri="http://schemas.openxmlformats.org/officeDocument/2006/bibliography"/>
  </ds:schemaRefs>
</ds:datastoreItem>
</file>

<file path=customXml/itemProps5.xml><?xml version="1.0" encoding="utf-8"?>
<ds:datastoreItem xmlns:ds="http://schemas.openxmlformats.org/officeDocument/2006/customXml" ds:itemID="{59255AAC-F39D-4FAE-8953-FEB5B7AC2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LibreOffice/7.2.4.1$Windows_X86_64 LibreOffice_project/27d75539669ac387bb498e35313b970b7fe9c4f9</Application>
  <AppVersion>15.0000</AppVersion>
  <Pages>15</Pages>
  <Words>3129</Words>
  <Characters>18488</Characters>
  <CharactersWithSpaces>21606</CharactersWithSpaces>
  <Paragraphs>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2022-02-08T09:17:00Z</dcterms:created>
  <dc:creator>nikos</dc:creator>
  <dc:description/>
  <dc:language>el-GR</dc:language>
  <cp:lastModifiedBy>Αδαμοπούλου Π. Ειρήνη</cp:lastModifiedBy>
  <cp:lastPrinted>2022-02-07T10:11:00Z</cp:lastPrinted>
  <dcterms:modified xsi:type="dcterms:W3CDTF">2022-02-08T12:28:00Z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MSIP_Label_3b8d3c1f-739d-4b15-82f9-3af0fe19718a_ActionId">
    <vt:lpwstr>17ff41c6-c539-43a7-b4fe-6f7eae7d0875</vt:lpwstr>
  </property>
  <property fmtid="{D5CDD505-2E9C-101B-9397-08002B2CF9AE}" pid="4" name="MSIP_Label_3b8d3c1f-739d-4b15-82f9-3af0fe19718a_ContentBits">
    <vt:lpwstr>0</vt:lpwstr>
  </property>
  <property fmtid="{D5CDD505-2E9C-101B-9397-08002B2CF9AE}" pid="5" name="MSIP_Label_3b8d3c1f-739d-4b15-82f9-3af0fe19718a_Enabled">
    <vt:lpwstr>true</vt:lpwstr>
  </property>
  <property fmtid="{D5CDD505-2E9C-101B-9397-08002B2CF9AE}" pid="6" name="MSIP_Label_3b8d3c1f-739d-4b15-82f9-3af0fe19718a_Method">
    <vt:lpwstr>Standard</vt:lpwstr>
  </property>
  <property fmtid="{D5CDD505-2E9C-101B-9397-08002B2CF9AE}" pid="7" name="MSIP_Label_3b8d3c1f-739d-4b15-82f9-3af0fe19718a_Name">
    <vt:lpwstr>3b8d3c1f-739d-4b15-82f9-3af0fe19718a</vt:lpwstr>
  </property>
  <property fmtid="{D5CDD505-2E9C-101B-9397-08002B2CF9AE}" pid="8" name="MSIP_Label_3b8d3c1f-739d-4b15-82f9-3af0fe19718a_SetDate">
    <vt:lpwstr>2021-03-31T11:12:58Z</vt:lpwstr>
  </property>
  <property fmtid="{D5CDD505-2E9C-101B-9397-08002B2CF9AE}" pid="9" name="MSIP_Label_3b8d3c1f-739d-4b15-82f9-3af0fe19718a_SiteId">
    <vt:lpwstr>c80515ef-93c1-429d-87e1-d66eb567b009</vt:lpwstr>
  </property>
  <property fmtid="{D5CDD505-2E9C-101B-9397-08002B2CF9AE}" pid="10"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11" name="bjDocumentLabelXML-0">
    <vt:lpwstr>ames.com/2008/01/sie/internal/label"&gt;&lt;element uid="9b837078-1873-43a7-b123-90c6457d5a93" value="" /&gt;&lt;element uid="3316aa8e-0f94-416d-861a-3773e8d4f850" value="" /&gt;&lt;/sisl&gt;</vt:lpwstr>
  </property>
  <property fmtid="{D5CDD505-2E9C-101B-9397-08002B2CF9AE}" pid="12" name="bjDocumentSecurityLabel">
    <vt:lpwstr>ΔΗΜΟΣΙΟ (PUBLIC) </vt:lpwstr>
  </property>
  <property fmtid="{D5CDD505-2E9C-101B-9397-08002B2CF9AE}" pid="13" name="bjSaver">
    <vt:lpwstr>LTCvLEH+bFem4gQjX/1Zy+m26iQSmRUJ</vt:lpwstr>
  </property>
  <property fmtid="{D5CDD505-2E9C-101B-9397-08002B2CF9AE}" pid="14" name="docIndexRef">
    <vt:lpwstr>ad828cb2-5136-4280-a204-443a9ca24e46</vt:lpwstr>
  </property>
</Properties>
</file>